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8F7DC4" w14:textId="22758CFC" w:rsidR="000040EA" w:rsidRDefault="00000000" w:rsidP="00ED7A0F">
      <w:pPr>
        <w:pStyle w:val="Ttulo"/>
      </w:pPr>
      <w:sdt>
        <w:sdtPr>
          <w:rPr>
            <w:i/>
            <w:iCs w:val="0"/>
            <w:u w:val="single"/>
          </w:rPr>
          <w:alias w:val="Title"/>
          <w:tag w:val=""/>
          <w:id w:val="-780801520"/>
          <w:placeholder>
            <w:docPart w:val="EF3F7236F62A45A4A11861B4F5153AE6"/>
          </w:placeholder>
          <w:dataBinding w:prefixMappings="xmlns:ns0='http://purl.org/dc/elements/1.1/' xmlns:ns1='http://schemas.openxmlformats.org/package/2006/metadata/core-properties' " w:xpath="/ns1:coreProperties[1]/ns0:title[1]" w:storeItemID="{6C3C8BC8-F283-45AE-878A-BAB7291924A1}"/>
          <w:text/>
        </w:sdtPr>
        <w:sdtContent>
          <w:r w:rsidR="001F5BD9">
            <w:rPr>
              <w:i/>
              <w:iCs w:val="0"/>
              <w:u w:val="single"/>
            </w:rPr>
            <w:t>4.A.1</w:t>
          </w:r>
        </w:sdtContent>
      </w:sdt>
      <w:r w:rsidR="001F5BD9">
        <w:t xml:space="preserve"> :</w:t>
      </w:r>
      <w:r w:rsidR="001F5BD9" w:rsidRPr="004C0C34">
        <w:t xml:space="preserve"> </w:t>
      </w:r>
      <w:sdt>
        <w:sdtPr>
          <w:rPr>
            <w:spacing w:val="-6"/>
          </w:rPr>
          <w:alias w:val="Subject"/>
          <w:tag w:val=""/>
          <w:id w:val="-1903059896"/>
          <w:placeholder>
            <w:docPart w:val="125AFD332B7B4F69888BEFC4D608159D"/>
          </w:placeholder>
          <w:dataBinding w:prefixMappings="xmlns:ns0='http://purl.org/dc/elements/1.1/' xmlns:ns1='http://schemas.openxmlformats.org/package/2006/metadata/core-properties' " w:xpath="/ns1:coreProperties[1]/ns0:subject[1]" w:storeItemID="{6C3C8BC8-F283-45AE-878A-BAB7291924A1}"/>
          <w:text/>
        </w:sdtPr>
        <w:sdtContent>
          <w:r w:rsidR="001F5BD9">
            <w:rPr>
              <w:spacing w:val="-6"/>
            </w:rPr>
            <w:t>Fuentes estadísticas españolas. Características, limitaciones y armonización en el ámbito comunitario.</w:t>
          </w:r>
        </w:sdtContent>
      </w:sdt>
    </w:p>
    <w:p w14:paraId="1603F8FD" w14:textId="301DA76B" w:rsidR="00710041" w:rsidRDefault="00CE1217" w:rsidP="00ED7A0F">
      <w:pPr>
        <w:pStyle w:val="Introduccinyconclusin"/>
      </w:pPr>
      <w:r>
        <w:t>INTRODUCCION</w:t>
      </w:r>
    </w:p>
    <w:p w14:paraId="25A9E941" w14:textId="7AE635AC" w:rsidR="00D42EF9" w:rsidRPr="00D42EF9" w:rsidRDefault="00000000" w:rsidP="00D42EF9">
      <w:pPr>
        <w:pStyle w:val="Cajadeanotaciones"/>
        <w:keepNext/>
        <w:rPr>
          <w:sz w:val="19"/>
          <w:szCs w:val="19"/>
        </w:rPr>
      </w:pPr>
      <w:hyperlink r:id="rId8" w:history="1">
        <w:r w:rsidR="00D42EF9" w:rsidRPr="00D42EF9">
          <w:rPr>
            <w:rStyle w:val="Hipervnculo"/>
            <w:sz w:val="19"/>
            <w:szCs w:val="19"/>
          </w:rPr>
          <w:t>https://www.lamoncloa.gob.es/serviciosdeprensa/notasprensa/asuntos-economicos/Paginas/2023/180923-recuperacion-nivel-pib.aspx</w:t>
        </w:r>
      </w:hyperlink>
    </w:p>
    <w:p w14:paraId="1FA76CE5" w14:textId="79E79C7F" w:rsidR="00823534" w:rsidRDefault="00823534" w:rsidP="00823534">
      <w:pPr>
        <w:pStyle w:val="Nivel1"/>
        <w:keepNext/>
        <w:spacing w:before="0" w:after="0"/>
      </w:pPr>
      <w:r>
        <w:rPr>
          <w:b/>
          <w:bCs/>
          <w:i/>
          <w:iCs/>
        </w:rPr>
        <w:t>Enganche</w:t>
      </w:r>
      <w:r>
        <w:t>:</w:t>
      </w:r>
    </w:p>
    <w:p w14:paraId="70671E80" w14:textId="03A728FD" w:rsidR="00E17B2C" w:rsidRDefault="00E17B2C" w:rsidP="00823534">
      <w:pPr>
        <w:pStyle w:val="Nivel2"/>
      </w:pPr>
      <w:r>
        <w:t>Como recita el aforismo: “no se puede gestionar lo que no se puede medir”.</w:t>
      </w:r>
    </w:p>
    <w:p w14:paraId="017D1B5D" w14:textId="7A8374F3" w:rsidR="00823534" w:rsidRDefault="00E17B2C" w:rsidP="00823534">
      <w:pPr>
        <w:pStyle w:val="Nivel2"/>
      </w:pPr>
      <w:r>
        <w:t>En este sentido, p</w:t>
      </w:r>
      <w:r w:rsidR="00895C03">
        <w:t>ara cualquier Estado, resulta imprescindible contar con un sistema estadístico fiable, capaz de proporcionar una información objetiva y adecuada para la planificación administrativa y la acción política. El sistema estadístico debe proporcionar una información de calidad sobre la economía y la sociedad que satisfaga las necesidad de los usuarios, ya sean instituciones (europeas o nacionales), gobiernos, centros de investigación, empresas o el público en general.</w:t>
      </w:r>
    </w:p>
    <w:p w14:paraId="0D0DA03E" w14:textId="6F7DE501" w:rsidR="00FB161A" w:rsidRDefault="00FB161A" w:rsidP="00FB161A">
      <w:pPr>
        <w:pStyle w:val="Nivel2"/>
        <w:keepNext/>
        <w:spacing w:after="0"/>
      </w:pPr>
      <w:r>
        <w:t xml:space="preserve">Para cumplir con este objetivo, el </w:t>
      </w:r>
      <w:r>
        <w:rPr>
          <w:i/>
          <w:iCs/>
        </w:rPr>
        <w:t>Código de Buenas Prácticas de las Estadísticas Europeas</w:t>
      </w:r>
      <w:r>
        <w:t xml:space="preserve"> establece que la producción estadística deberá estar regida por los siguientes principios:</w:t>
      </w:r>
    </w:p>
    <w:p w14:paraId="36B9C6FB" w14:textId="7BB36476" w:rsidR="00FB161A" w:rsidRDefault="00FB161A" w:rsidP="00FB161A">
      <w:pPr>
        <w:pStyle w:val="Prrafodelista"/>
        <w:numPr>
          <w:ilvl w:val="0"/>
          <w:numId w:val="52"/>
        </w:numPr>
        <w:spacing w:after="0"/>
        <w:ind w:left="1702" w:hanging="284"/>
      </w:pPr>
      <w:r>
        <w:rPr>
          <w:i/>
          <w:iCs/>
          <w:u w:val="single"/>
        </w:rPr>
        <w:t>Relevancia</w:t>
      </w:r>
      <w:r>
        <w:t>,</w:t>
      </w:r>
      <w:r w:rsidR="00101422">
        <w:t xml:space="preserve"> para satisfacer las necesidades de los usuarios.</w:t>
      </w:r>
    </w:p>
    <w:p w14:paraId="3A12D5B9" w14:textId="57A8B561" w:rsidR="00FB161A" w:rsidRDefault="00FB161A" w:rsidP="00FB161A">
      <w:pPr>
        <w:pStyle w:val="Prrafodelista"/>
        <w:numPr>
          <w:ilvl w:val="0"/>
          <w:numId w:val="52"/>
        </w:numPr>
        <w:spacing w:after="0"/>
        <w:ind w:left="1702" w:hanging="284"/>
      </w:pPr>
      <w:r>
        <w:rPr>
          <w:i/>
          <w:iCs/>
          <w:u w:val="single"/>
        </w:rPr>
        <w:t>Precisión y fiabilidad</w:t>
      </w:r>
      <w:r>
        <w:t xml:space="preserve"> a</w:t>
      </w:r>
      <w:r w:rsidR="00101422">
        <w:t xml:space="preserve"> la hora de refleja</w:t>
      </w:r>
      <w:r w:rsidR="00EA6727">
        <w:t>r</w:t>
      </w:r>
      <w:r w:rsidR="00101422">
        <w:t xml:space="preserve"> la realidad.</w:t>
      </w:r>
    </w:p>
    <w:p w14:paraId="73EB7D56" w14:textId="5F96E3BF" w:rsidR="00FB161A" w:rsidRDefault="00FB161A" w:rsidP="00FB161A">
      <w:pPr>
        <w:pStyle w:val="Prrafodelista"/>
        <w:numPr>
          <w:ilvl w:val="0"/>
          <w:numId w:val="52"/>
        </w:numPr>
        <w:spacing w:after="0"/>
        <w:ind w:left="1702" w:hanging="284"/>
      </w:pPr>
      <w:r>
        <w:rPr>
          <w:i/>
          <w:iCs/>
          <w:u w:val="single"/>
        </w:rPr>
        <w:t>Oportunidad y puntualidad</w:t>
      </w:r>
      <w:r>
        <w:t xml:space="preserve"> en su publicación.</w:t>
      </w:r>
    </w:p>
    <w:p w14:paraId="70AD386E" w14:textId="51A63712" w:rsidR="00FB161A" w:rsidRDefault="00FB161A" w:rsidP="00FB161A">
      <w:pPr>
        <w:pStyle w:val="Prrafodelista"/>
        <w:numPr>
          <w:ilvl w:val="0"/>
          <w:numId w:val="52"/>
        </w:numPr>
        <w:spacing w:after="0"/>
        <w:ind w:left="1702" w:hanging="284"/>
      </w:pPr>
      <w:r>
        <w:rPr>
          <w:i/>
          <w:iCs/>
          <w:u w:val="single"/>
        </w:rPr>
        <w:t>Coherencia y comparabilidad</w:t>
      </w:r>
      <w:r>
        <w:t>, tanto interna, a lo largo del tiempo, como entre diferentes países o regiones.</w:t>
      </w:r>
    </w:p>
    <w:p w14:paraId="6C143FFF" w14:textId="2011DF24" w:rsidR="00FB161A" w:rsidRDefault="00FB161A" w:rsidP="00FB161A">
      <w:pPr>
        <w:pStyle w:val="Prrafodelista"/>
        <w:numPr>
          <w:ilvl w:val="0"/>
          <w:numId w:val="52"/>
        </w:numPr>
        <w:spacing w:after="0"/>
        <w:ind w:left="1702" w:hanging="284"/>
      </w:pPr>
      <w:r>
        <w:rPr>
          <w:i/>
          <w:iCs/>
          <w:u w:val="single"/>
        </w:rPr>
        <w:t>Accesibilidad y claridad</w:t>
      </w:r>
      <w:r>
        <w:t>, siendo publicadas y difundidas convenientemente.</w:t>
      </w:r>
    </w:p>
    <w:p w14:paraId="4DC49871" w14:textId="7F206DE6" w:rsidR="00823534" w:rsidRDefault="00823534" w:rsidP="00823534">
      <w:pPr>
        <w:pStyle w:val="Nivel1"/>
        <w:keepNext/>
        <w:spacing w:after="0"/>
      </w:pPr>
      <w:r>
        <w:rPr>
          <w:b/>
          <w:bCs/>
          <w:i/>
          <w:iCs/>
        </w:rPr>
        <w:t>Relevancia</w:t>
      </w:r>
      <w:r>
        <w:t>:</w:t>
      </w:r>
    </w:p>
    <w:p w14:paraId="3628FD12" w14:textId="68DE108C" w:rsidR="00B37432" w:rsidRDefault="00B37432" w:rsidP="009C7071">
      <w:pPr>
        <w:pStyle w:val="Nivel2"/>
        <w:keepNext/>
        <w:spacing w:after="0"/>
      </w:pPr>
      <w:r>
        <w:t>La información estadística de un país es de utilidad para diversos agentes:</w:t>
      </w:r>
    </w:p>
    <w:p w14:paraId="373ED43B" w14:textId="55436CD3" w:rsidR="00B37432" w:rsidRDefault="00B37432" w:rsidP="00B37432">
      <w:pPr>
        <w:pStyle w:val="Nivel3"/>
      </w:pPr>
      <w:r>
        <w:t xml:space="preserve">Para el </w:t>
      </w:r>
      <w:proofErr w:type="spellStart"/>
      <w:r>
        <w:rPr>
          <w:i/>
          <w:iCs/>
        </w:rPr>
        <w:t>policymaker</w:t>
      </w:r>
      <w:proofErr w:type="spellEnd"/>
      <w:r>
        <w:t xml:space="preserve"> es un indicador de su gestión y un indicador que permite la propuesta de políticas económicas.</w:t>
      </w:r>
    </w:p>
    <w:p w14:paraId="5FDD21CA" w14:textId="50074228" w:rsidR="00B37432" w:rsidRDefault="00B37432" w:rsidP="00B37432">
      <w:pPr>
        <w:pStyle w:val="Nivel3"/>
      </w:pPr>
      <w:r>
        <w:t>Para los ciudadanos, contar con información estadística es un mecanismo de rendición de cuentas.</w:t>
      </w:r>
    </w:p>
    <w:p w14:paraId="2FB1F2AE" w14:textId="57F55517" w:rsidR="00B37432" w:rsidRDefault="00B37432" w:rsidP="00B37432">
      <w:pPr>
        <w:pStyle w:val="Nivel3"/>
      </w:pPr>
      <w:r>
        <w:t>Para la Comisión Europea, la información estadística en múltiples aspectos (decisión sobre reparto de fondos, entrada de un país en el PDE, etc.).</w:t>
      </w:r>
    </w:p>
    <w:p w14:paraId="1BBB8BBF" w14:textId="455C854F" w:rsidR="00823534" w:rsidRDefault="00823534" w:rsidP="00823534">
      <w:pPr>
        <w:pStyle w:val="Nivel1"/>
        <w:keepNext/>
        <w:spacing w:after="0"/>
      </w:pPr>
      <w:r>
        <w:rPr>
          <w:b/>
          <w:bCs/>
          <w:i/>
          <w:iCs/>
        </w:rPr>
        <w:t>Contextualización</w:t>
      </w:r>
      <w:r>
        <w:t>:</w:t>
      </w:r>
    </w:p>
    <w:p w14:paraId="1DC897AC" w14:textId="77777777" w:rsidR="00B37432" w:rsidRDefault="00B37432" w:rsidP="00B37432">
      <w:pPr>
        <w:pStyle w:val="Nivel2"/>
        <w:keepNext/>
        <w:spacing w:after="0"/>
      </w:pPr>
      <w:r>
        <w:t>La economía española ha experimentado un importante cambio a lo largo de las últimas 7 décadas tanto desde un punto de vista político como desde un punto de vista económico.</w:t>
      </w:r>
    </w:p>
    <w:p w14:paraId="336F6E83" w14:textId="77777777" w:rsidR="00B37432" w:rsidRDefault="00B37432" w:rsidP="00B37432">
      <w:pPr>
        <w:pStyle w:val="Nivel3"/>
      </w:pPr>
      <w:r>
        <w:t xml:space="preserve">Desde un punto de vista político, el país ha pasado de un régimen autoritario a un régimen democrático. </w:t>
      </w:r>
    </w:p>
    <w:p w14:paraId="54EF66F0" w14:textId="77777777" w:rsidR="00B37432" w:rsidRDefault="00B37432" w:rsidP="00B37432">
      <w:pPr>
        <w:pStyle w:val="Nivel3"/>
        <w:keepNext/>
      </w:pPr>
      <w:r>
        <w:t>Desde un punto de vista económico, ha pasado a estar caracterizado por un régimen de autarquía a formar parte del proceso de integración más avanzado del mundo: La Unión Económica y Monetaria Europea.</w:t>
      </w:r>
    </w:p>
    <w:p w14:paraId="7F4CECBC" w14:textId="77777777" w:rsidR="00B37432" w:rsidRDefault="00B37432" w:rsidP="00B37432">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4522E98C" w14:textId="77777777" w:rsidR="00B37432" w:rsidRDefault="00B37432" w:rsidP="00B37432">
      <w:pPr>
        <w:pStyle w:val="Nivel2"/>
      </w:pPr>
      <w:r>
        <w:t>Por todos estos motivos, las exigencias de la calidad de la información económica ha ido en aumento siendo necesario la elaboración de unas fuentes estadísticas fiables, abundantes, de calidad, armonizadas y lo suficientemente desagregadas.</w:t>
      </w:r>
    </w:p>
    <w:p w14:paraId="5DBE6741" w14:textId="729CDA1C" w:rsidR="00895C03" w:rsidRDefault="00895C03" w:rsidP="00895C03">
      <w:pPr>
        <w:pStyle w:val="Nivel2"/>
        <w:keepNext/>
        <w:spacing w:after="0"/>
      </w:pPr>
      <w:r>
        <w:t>En las últimas décadas</w:t>
      </w:r>
      <w:r w:rsidR="00545F84">
        <w:t>,</w:t>
      </w:r>
      <w:r>
        <w:t xml:space="preserve"> el sistema estadístico español ha estado marcado por la integración en la Unión Europea y con ella por la necesidad de nueva información y </w:t>
      </w:r>
      <w:r>
        <w:lastRenderedPageBreak/>
        <w:t>fundamentalmente por el esfuerzo armonizador que se ha debido llevar a cabo en el ámbito comunitario.</w:t>
      </w:r>
    </w:p>
    <w:p w14:paraId="2688583A" w14:textId="06685D8F" w:rsidR="00823534" w:rsidRDefault="00895C03" w:rsidP="00895C03">
      <w:pPr>
        <w:pStyle w:val="Nivel3"/>
      </w:pPr>
      <w:r>
        <w:t>En la actualidad</w:t>
      </w:r>
      <w:r w:rsidR="00545F84">
        <w:t>,</w:t>
      </w:r>
      <w:r>
        <w:t xml:space="preserve"> el sistema estadístico español se encuentra totalmente integrado en el </w:t>
      </w:r>
      <w:r w:rsidRPr="00895C03">
        <w:rPr>
          <w:i/>
          <w:iCs/>
          <w:u w:val="single"/>
        </w:rPr>
        <w:t>Sistema Estadístico Europeo (SEE)</w:t>
      </w:r>
      <w:r>
        <w:t xml:space="preserve"> que está formado por la Comisión Europea (Eurostat) y los institutos nacionales de estadística y otras autoridades nacionales competentes en cada estado miembro para el desarrollo, la producción y la difusión de información estadística europea.</w:t>
      </w:r>
    </w:p>
    <w:p w14:paraId="1B00B81B" w14:textId="1ECABE7D" w:rsidR="00895C03" w:rsidRDefault="00895C03" w:rsidP="00895C03">
      <w:pPr>
        <w:pStyle w:val="Nivel3"/>
      </w:pPr>
      <w:r>
        <w:t>Los Estados miembros recopilan datos y compilan estadísticas para fines nacionales y comunitarios y Eurostat tiene el papel fundamental de armonización de las estadísticas en estrecha cooperación con las autoridades estadísticas nacionales.</w:t>
      </w:r>
    </w:p>
    <w:p w14:paraId="24690C34" w14:textId="77777777" w:rsidR="00895C03" w:rsidRDefault="00895C03" w:rsidP="00FB161A">
      <w:pPr>
        <w:pStyle w:val="Nivel3"/>
        <w:keepNext/>
      </w:pPr>
      <w:r>
        <w:t>El SEE también coordina su trabajo con:</w:t>
      </w:r>
    </w:p>
    <w:p w14:paraId="0E45C70E" w14:textId="77777777" w:rsidR="00895C03" w:rsidRDefault="00895C03" w:rsidP="00895C03">
      <w:pPr>
        <w:pStyle w:val="Nivel4"/>
      </w:pPr>
      <w:r>
        <w:t>Los países candidatos;</w:t>
      </w:r>
    </w:p>
    <w:p w14:paraId="403479AD" w14:textId="68EF0714" w:rsidR="00895C03" w:rsidRPr="00545F84" w:rsidRDefault="00895C03" w:rsidP="00895C03">
      <w:pPr>
        <w:pStyle w:val="Nivel4"/>
        <w:rPr>
          <w:spacing w:val="-2"/>
        </w:rPr>
      </w:pPr>
      <w:r w:rsidRPr="00545F84">
        <w:rPr>
          <w:spacing w:val="-2"/>
        </w:rPr>
        <w:t>A nivel europeo, con otros servicios de la Comisión</w:t>
      </w:r>
      <w:r w:rsidR="00545F84" w:rsidRPr="00545F84">
        <w:rPr>
          <w:spacing w:val="-2"/>
        </w:rPr>
        <w:t xml:space="preserve"> Europea</w:t>
      </w:r>
      <w:r w:rsidRPr="00545F84">
        <w:rPr>
          <w:spacing w:val="-2"/>
        </w:rPr>
        <w:t>, agencias y el BCE; y</w:t>
      </w:r>
    </w:p>
    <w:p w14:paraId="3774B1C2" w14:textId="4A41AB9E" w:rsidR="00895C03" w:rsidRDefault="00FB161A" w:rsidP="00895C03">
      <w:pPr>
        <w:pStyle w:val="Nivel4"/>
      </w:pPr>
      <w:r>
        <w:t>Con organizaciones internacionales como la OCDE, la ONU, el FMI y el Banco Mundial.</w:t>
      </w:r>
    </w:p>
    <w:p w14:paraId="1CCF7424" w14:textId="02F91AB2" w:rsidR="00823534" w:rsidRDefault="00823534" w:rsidP="00823534">
      <w:pPr>
        <w:pStyle w:val="Nivel1"/>
        <w:keepNext/>
        <w:spacing w:after="0"/>
      </w:pPr>
      <w:r>
        <w:rPr>
          <w:b/>
          <w:bCs/>
          <w:i/>
          <w:iCs/>
        </w:rPr>
        <w:t>Problemática</w:t>
      </w:r>
      <w:r>
        <w:t>:</w:t>
      </w:r>
    </w:p>
    <w:p w14:paraId="50DFE964" w14:textId="66CE55D1" w:rsidR="00823534" w:rsidRDefault="00A735D7" w:rsidP="00823534">
      <w:pPr>
        <w:pStyle w:val="Nivel2"/>
      </w:pPr>
      <w:r>
        <w:t>El objetivo de esta exposición será llevar a cabo un análisis más en profundidad de las fuentes estadísticas españolas.</w:t>
      </w:r>
    </w:p>
    <w:p w14:paraId="44ABCE0F" w14:textId="77777777" w:rsidR="001F5BD9" w:rsidRDefault="001F5BD9" w:rsidP="001F5BD9">
      <w:pPr>
        <w:pStyle w:val="Nivel1"/>
        <w:keepNext/>
        <w:spacing w:after="0"/>
      </w:pPr>
      <w:r w:rsidRPr="00C325BE">
        <w:rPr>
          <w:b/>
          <w:bCs/>
          <w:i/>
          <w:iCs/>
        </w:rPr>
        <w:lastRenderedPageBreak/>
        <w:t>Estructura</w:t>
      </w:r>
      <w:r w:rsidRPr="000A3137">
        <w:t>:</w:t>
      </w:r>
    </w:p>
    <w:tbl>
      <w:tblPr>
        <w:tblStyle w:val="Tablaconcuadrcula"/>
        <w:tblW w:w="10205" w:type="dxa"/>
        <w:jc w:val="center"/>
        <w:tblLook w:val="04A0" w:firstRow="1" w:lastRow="0" w:firstColumn="1" w:lastColumn="0" w:noHBand="0" w:noVBand="1"/>
      </w:tblPr>
      <w:tblGrid>
        <w:gridCol w:w="10205"/>
      </w:tblGrid>
      <w:tr w:rsidR="001F5BD9" w14:paraId="7181D92A" w14:textId="77777777" w:rsidTr="00545F84">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925B996" w14:textId="77777777" w:rsidR="001F5BD9" w:rsidRPr="00545F84" w:rsidRDefault="001F5BD9">
      <w:pPr>
        <w:spacing w:after="0" w:line="240" w:lineRule="auto"/>
        <w:jc w:val="left"/>
        <w:rPr>
          <w:sz w:val="2"/>
          <w:szCs w:val="2"/>
        </w:rPr>
      </w:pPr>
      <w:r w:rsidRPr="00545F84">
        <w:rPr>
          <w:sz w:val="2"/>
          <w:szCs w:val="2"/>
        </w:rPr>
        <w:br w:type="page"/>
      </w:r>
    </w:p>
    <w:p w14:paraId="08A94F6D" w14:textId="097CE195" w:rsidR="00A73216" w:rsidRPr="00ED7A0F" w:rsidRDefault="00F33CAF" w:rsidP="00A73216">
      <w:pPr>
        <w:pStyle w:val="Ttulo1"/>
      </w:pPr>
      <w:bookmarkStart w:id="0" w:name="_Toc177739103"/>
      <w:r w:rsidRPr="00AB3F87">
        <w:lastRenderedPageBreak/>
        <w:t>SISTEMA ESTADÍSTICO ESPAÑOL</w:t>
      </w:r>
      <w:bookmarkEnd w:id="0"/>
    </w:p>
    <w:p w14:paraId="02CF0416" w14:textId="0ECE9F3D" w:rsidR="00185078" w:rsidRDefault="00185078" w:rsidP="001F5BD9">
      <w:pPr>
        <w:pStyle w:val="Ttulo2"/>
      </w:pPr>
      <w:bookmarkStart w:id="1" w:name="_Toc177739104"/>
      <w:r>
        <w:t>Introducción</w:t>
      </w:r>
      <w:bookmarkEnd w:id="1"/>
    </w:p>
    <w:p w14:paraId="54218CF8" w14:textId="27BFAD72" w:rsidR="00913159" w:rsidRPr="00ED7A0F" w:rsidRDefault="00185078" w:rsidP="00DE3C0A">
      <w:pPr>
        <w:pStyle w:val="Ttulo3"/>
        <w:spacing w:before="0"/>
      </w:pPr>
      <w:bookmarkStart w:id="2" w:name="_Toc177739105"/>
      <w:r w:rsidRPr="00185078">
        <w:t>Definición</w:t>
      </w:r>
      <w:bookmarkEnd w:id="2"/>
    </w:p>
    <w:p w14:paraId="69217677" w14:textId="77777777" w:rsidR="00FB14F2" w:rsidRDefault="00185078" w:rsidP="00FB14F2">
      <w:pPr>
        <w:pStyle w:val="Nivel1SM"/>
        <w:keepNext/>
        <w:spacing w:before="0" w:after="0"/>
      </w:pPr>
      <w:r>
        <w:t xml:space="preserve">El </w:t>
      </w:r>
      <w:r w:rsidRPr="002D1EDD">
        <w:rPr>
          <w:b/>
          <w:bCs/>
        </w:rPr>
        <w:t>sistema estadístico español</w:t>
      </w:r>
      <w:r>
        <w:t xml:space="preserve"> está compuesto por el </w:t>
      </w:r>
      <w:r w:rsidRPr="00545F84">
        <w:rPr>
          <w:i/>
          <w:iCs/>
        </w:rPr>
        <w:t>conjunto de</w:t>
      </w:r>
      <w:r>
        <w:t xml:space="preserve"> </w:t>
      </w:r>
      <w:r w:rsidRPr="002D1EDD">
        <w:rPr>
          <w:i/>
          <w:iCs/>
        </w:rPr>
        <w:t>instituciones nacionales</w:t>
      </w:r>
      <w:r>
        <w:t xml:space="preserve"> (estatales y autonómicas) </w:t>
      </w:r>
      <w:r w:rsidRPr="00545F84">
        <w:rPr>
          <w:i/>
          <w:iCs/>
        </w:rPr>
        <w:t>que elaboran las principales estadísticas nacionales</w:t>
      </w:r>
      <w:r>
        <w:t>.</w:t>
      </w:r>
    </w:p>
    <w:p w14:paraId="301BDE84" w14:textId="4BA97245" w:rsidR="00185078" w:rsidRDefault="00185078" w:rsidP="00FB14F2">
      <w:pPr>
        <w:pStyle w:val="Nivel2SM"/>
      </w:pPr>
      <w:r>
        <w:t>A su vez</w:t>
      </w:r>
      <w:r w:rsidR="00545F84">
        <w:t>,</w:t>
      </w:r>
      <w:r>
        <w:t xml:space="preserve"> dicho sistema está integrado dentro del </w:t>
      </w:r>
      <w:r w:rsidR="00FB14F2" w:rsidRPr="00FB14F2">
        <w:rPr>
          <w:i/>
          <w:iCs/>
        </w:rPr>
        <w:t>S</w:t>
      </w:r>
      <w:r w:rsidRPr="00FB14F2">
        <w:rPr>
          <w:i/>
          <w:iCs/>
        </w:rPr>
        <w:t xml:space="preserve">istema </w:t>
      </w:r>
      <w:r w:rsidR="00FB14F2" w:rsidRPr="00FB14F2">
        <w:rPr>
          <w:i/>
          <w:iCs/>
        </w:rPr>
        <w:t>E</w:t>
      </w:r>
      <w:r w:rsidRPr="00FB14F2">
        <w:rPr>
          <w:i/>
          <w:iCs/>
        </w:rPr>
        <w:t xml:space="preserve">stadístico </w:t>
      </w:r>
      <w:r w:rsidR="00FB14F2" w:rsidRPr="00FB14F2">
        <w:rPr>
          <w:i/>
          <w:iCs/>
        </w:rPr>
        <w:t>E</w:t>
      </w:r>
      <w:r w:rsidRPr="00FB14F2">
        <w:rPr>
          <w:i/>
          <w:iCs/>
        </w:rPr>
        <w:t xml:space="preserve">uropeo </w:t>
      </w:r>
      <w:r w:rsidR="00FB14F2" w:rsidRPr="00FB14F2">
        <w:rPr>
          <w:i/>
          <w:iCs/>
        </w:rPr>
        <w:t>(SEE)</w:t>
      </w:r>
      <w:r w:rsidR="00FB14F2">
        <w:t xml:space="preserve"> </w:t>
      </w:r>
      <w:r>
        <w:t xml:space="preserve">compuesto por </w:t>
      </w:r>
      <w:r w:rsidRPr="00FB14F2">
        <w:rPr>
          <w:i/>
          <w:iCs/>
        </w:rPr>
        <w:t xml:space="preserve">Eurostat y las diferentes oficinas de estadística de los </w:t>
      </w:r>
      <w:r w:rsidR="005127A0" w:rsidRPr="00FB14F2">
        <w:rPr>
          <w:i/>
          <w:iCs/>
        </w:rPr>
        <w:t>Estados miembros</w:t>
      </w:r>
      <w:r w:rsidRPr="00FB14F2">
        <w:rPr>
          <w:i/>
          <w:iCs/>
        </w:rPr>
        <w:t xml:space="preserve"> de la Unión Europea</w:t>
      </w:r>
      <w:r>
        <w:t>.</w:t>
      </w:r>
    </w:p>
    <w:p w14:paraId="44073E38" w14:textId="75150CBA" w:rsidR="00185078" w:rsidRPr="00ED7A0F" w:rsidRDefault="00ED2D7F" w:rsidP="001F5BD9">
      <w:pPr>
        <w:pStyle w:val="Ttulo3"/>
      </w:pPr>
      <w:bookmarkStart w:id="3" w:name="_Toc177739106"/>
      <w:r>
        <w:t>Sigue directrices</w:t>
      </w:r>
      <w:bookmarkEnd w:id="3"/>
    </w:p>
    <w:p w14:paraId="64EAB7BE" w14:textId="4B3AC6B4" w:rsidR="00913159" w:rsidRPr="00AB3F87" w:rsidRDefault="00913159" w:rsidP="00DE3C0A">
      <w:pPr>
        <w:pStyle w:val="Nivel1SM"/>
        <w:keepNext/>
        <w:spacing w:before="0" w:after="0"/>
      </w:pPr>
      <w:r w:rsidRPr="00AB3F87">
        <w:t>El sistema estadístico español se encuentra limitado principalmente por</w:t>
      </w:r>
      <w:r w:rsidR="00595B35">
        <w:rPr>
          <w:rStyle w:val="Refdenotaalpie"/>
        </w:rPr>
        <w:footnoteReference w:id="2"/>
      </w:r>
      <w:r w:rsidRPr="00AB3F87">
        <w:t>:</w:t>
      </w:r>
    </w:p>
    <w:p w14:paraId="454BCBAB" w14:textId="5CA7FEFA" w:rsidR="00DE3C0A" w:rsidRDefault="00913159" w:rsidP="00DE3C0A">
      <w:pPr>
        <w:pStyle w:val="Prrafodelista"/>
        <w:numPr>
          <w:ilvl w:val="0"/>
          <w:numId w:val="47"/>
        </w:numPr>
        <w:ind w:left="568" w:hanging="284"/>
      </w:pPr>
      <w:r w:rsidRPr="00AB3F87">
        <w:t xml:space="preserve">Sistema de Cuentas Nacionales de 2008 de </w:t>
      </w:r>
      <w:r w:rsidR="00404AC6">
        <w:t>la O</w:t>
      </w:r>
      <w:r w:rsidRPr="00AB3F87">
        <w:t>N</w:t>
      </w:r>
      <w:r w:rsidR="00404AC6">
        <w:t>U</w:t>
      </w:r>
      <w:r w:rsidR="002D1EDD">
        <w:t xml:space="preserve"> (</w:t>
      </w:r>
      <w:r w:rsidR="002D1EDD" w:rsidRPr="00AB3F87">
        <w:rPr>
          <w:bCs/>
        </w:rPr>
        <w:t>SC</w:t>
      </w:r>
      <w:r w:rsidR="002D1EDD">
        <w:rPr>
          <w:bCs/>
        </w:rPr>
        <w:t>N</w:t>
      </w:r>
      <w:r w:rsidR="002D1EDD" w:rsidRPr="00AB3F87">
        <w:rPr>
          <w:bCs/>
        </w:rPr>
        <w:t>-20</w:t>
      </w:r>
      <w:r w:rsidR="002D1EDD">
        <w:rPr>
          <w:bCs/>
        </w:rPr>
        <w:t>08</w:t>
      </w:r>
      <w:r w:rsidR="002D1EDD">
        <w:t>)</w:t>
      </w:r>
      <w:r w:rsidRPr="00AB3F87">
        <w:t>.</w:t>
      </w:r>
    </w:p>
    <w:p w14:paraId="7B48C6DB" w14:textId="4477169C" w:rsidR="00913159" w:rsidRDefault="00913159" w:rsidP="00DE3C0A">
      <w:pPr>
        <w:pStyle w:val="Prrafodelista"/>
        <w:numPr>
          <w:ilvl w:val="0"/>
          <w:numId w:val="47"/>
        </w:numPr>
        <w:ind w:left="568" w:hanging="284"/>
      </w:pPr>
      <w:r w:rsidRPr="00AB3F87">
        <w:t>El VI</w:t>
      </w:r>
      <w:r w:rsidR="00DE3C0A">
        <w:t> </w:t>
      </w:r>
      <w:r w:rsidRPr="00AB3F87">
        <w:t>Manual de la BP del FMI de 2009</w:t>
      </w:r>
      <w:r w:rsidR="00DE3C0A">
        <w:t xml:space="preserve"> (6MBP)</w:t>
      </w:r>
      <w:r w:rsidRPr="00AB3F87">
        <w:t>.</w:t>
      </w:r>
    </w:p>
    <w:p w14:paraId="0768B620" w14:textId="7E909184" w:rsidR="00185078" w:rsidRPr="00ED7A0F" w:rsidRDefault="00185078" w:rsidP="001F5BD9">
      <w:pPr>
        <w:pStyle w:val="Ttulo3"/>
      </w:pPr>
      <w:bookmarkStart w:id="4" w:name="_Toc177739107"/>
      <w:r w:rsidRPr="00185078">
        <w:t>Esfuerzo armonizador</w:t>
      </w:r>
      <w:bookmarkEnd w:id="4"/>
    </w:p>
    <w:p w14:paraId="571FA711" w14:textId="697C4DA0" w:rsidR="00913159" w:rsidRPr="00AB3F87" w:rsidRDefault="00913159" w:rsidP="00DE3C0A">
      <w:pPr>
        <w:pStyle w:val="Nivel1SM"/>
        <w:keepNext/>
        <w:spacing w:before="0" w:after="0"/>
      </w:pPr>
      <w:r w:rsidRPr="00AB3F87">
        <w:t>Además, se ha realizado un esfuerzo armonizador de fuentes estadísticas con el resto de E</w:t>
      </w:r>
      <w:r w:rsidR="00DE3C0A">
        <w:t>stados miembros</w:t>
      </w:r>
      <w:r w:rsidRPr="00AB3F87">
        <w:t xml:space="preserve"> de la UE:</w:t>
      </w:r>
    </w:p>
    <w:p w14:paraId="74590EEA" w14:textId="18AB40D1" w:rsidR="00913159" w:rsidRPr="00AB3F87" w:rsidRDefault="00913159" w:rsidP="00DE3C0A">
      <w:pPr>
        <w:pStyle w:val="Nivel2SM"/>
      </w:pPr>
      <w:r w:rsidRPr="00AB3F87">
        <w:t>Coordinado por Eurostat, quien elabora los manuales metodológicos que todos los países deben seguir.</w:t>
      </w:r>
    </w:p>
    <w:p w14:paraId="279B483A" w14:textId="6936CAD8" w:rsidR="00913159" w:rsidRPr="00AB3F87" w:rsidRDefault="00913159" w:rsidP="00DE3C0A">
      <w:pPr>
        <w:pStyle w:val="Nivel2SM"/>
      </w:pPr>
      <w:r w:rsidRPr="00AB3F87">
        <w:t xml:space="preserve">Destaca el </w:t>
      </w:r>
      <w:r w:rsidRPr="00AB3F87">
        <w:rPr>
          <w:bCs/>
        </w:rPr>
        <w:t xml:space="preserve">Sistema de Cuentas Nacionales y Regionales </w:t>
      </w:r>
      <w:r w:rsidR="002D1EDD">
        <w:rPr>
          <w:bCs/>
        </w:rPr>
        <w:t xml:space="preserve">SEC-2010 </w:t>
      </w:r>
      <w:r w:rsidR="00C240E4" w:rsidRPr="00AB3F87">
        <w:rPr>
          <w:bCs/>
        </w:rPr>
        <w:t xml:space="preserve">elaborado de acuerdo con el </w:t>
      </w:r>
      <w:r w:rsidRPr="00AB3F87">
        <w:rPr>
          <w:bCs/>
        </w:rPr>
        <w:t>SC</w:t>
      </w:r>
      <w:r w:rsidR="002D1EDD">
        <w:rPr>
          <w:bCs/>
        </w:rPr>
        <w:t>N</w:t>
      </w:r>
      <w:r w:rsidRPr="00AB3F87">
        <w:rPr>
          <w:bCs/>
        </w:rPr>
        <w:t>-20</w:t>
      </w:r>
      <w:r w:rsidR="002D1EDD">
        <w:rPr>
          <w:bCs/>
        </w:rPr>
        <w:t>08</w:t>
      </w:r>
      <w:r w:rsidRPr="00AB3F87">
        <w:rPr>
          <w:iCs/>
        </w:rPr>
        <w:t>.</w:t>
      </w:r>
    </w:p>
    <w:p w14:paraId="1859146A" w14:textId="39065223" w:rsidR="00913159" w:rsidRPr="00DE3C0A" w:rsidRDefault="00913159" w:rsidP="00A73216">
      <w:pPr>
        <w:pStyle w:val="Nivel1SM"/>
      </w:pPr>
      <w:r w:rsidRPr="00AB3F87">
        <w:t>El objetivo de esta delimitación y armonización es principalmente favorecer la comparabilidad entre las economías a nivel internacional.</w:t>
      </w:r>
    </w:p>
    <w:p w14:paraId="04699C0E" w14:textId="48455DDD" w:rsidR="006023EB" w:rsidRPr="00AB3F87" w:rsidRDefault="00A73216" w:rsidP="001F5BD9">
      <w:pPr>
        <w:pStyle w:val="Ttulo2"/>
      </w:pPr>
      <w:bookmarkStart w:id="5" w:name="_Toc177739108"/>
      <w:r w:rsidRPr="00AB3F87">
        <w:t>Marco legal</w:t>
      </w:r>
      <w:bookmarkEnd w:id="5"/>
    </w:p>
    <w:p w14:paraId="428844C3" w14:textId="77777777" w:rsidR="002E3B24" w:rsidRPr="00AB3F87" w:rsidRDefault="002E3B24" w:rsidP="00862861">
      <w:pPr>
        <w:pStyle w:val="Ttulo3"/>
        <w:spacing w:before="0"/>
      </w:pPr>
      <w:bookmarkStart w:id="6" w:name="_Toc177739109"/>
      <w:r w:rsidRPr="00AB3F87">
        <w:t>Legislación comunitaria</w:t>
      </w:r>
      <w:bookmarkEnd w:id="6"/>
    </w:p>
    <w:p w14:paraId="00C2C3D6" w14:textId="25D6CD9A" w:rsidR="002E3B24" w:rsidRPr="00AB3F87" w:rsidRDefault="002E3B24" w:rsidP="002E3B24">
      <w:pPr>
        <w:pStyle w:val="Nivel1SM"/>
        <w:keepNext/>
        <w:spacing w:before="0" w:after="0"/>
      </w:pPr>
      <w:r>
        <w:t xml:space="preserve">Por un lado, España, como Estado miembro de la </w:t>
      </w:r>
      <w:r w:rsidR="0096245A">
        <w:t>Unión Europea</w:t>
      </w:r>
      <w:r>
        <w:t xml:space="preserve"> está vinculada por todos los reglamentos en materia estadística. La</w:t>
      </w:r>
      <w:r w:rsidRPr="00AB3F87">
        <w:t xml:space="preserve"> legislación de la UE que es cada vez más importante para:</w:t>
      </w:r>
    </w:p>
    <w:p w14:paraId="4ADF97CC" w14:textId="77777777" w:rsidR="002E3B24" w:rsidRPr="00AB3F87" w:rsidRDefault="002E3B24" w:rsidP="002E3B24">
      <w:pPr>
        <w:pStyle w:val="Nivel2SM"/>
      </w:pPr>
      <w:r w:rsidRPr="00AB3F87">
        <w:t>Comparar la situación económica de cada país.</w:t>
      </w:r>
    </w:p>
    <w:p w14:paraId="7ECF49A5" w14:textId="7DF49C4E" w:rsidR="002E3B24" w:rsidRPr="00AB3F87" w:rsidRDefault="002E3B24" w:rsidP="002E3B24">
      <w:pPr>
        <w:pStyle w:val="Nivel2SM"/>
      </w:pPr>
      <w:r w:rsidRPr="00AB3F87">
        <w:t xml:space="preserve">Permitir la coordinación de las </w:t>
      </w:r>
      <w:r w:rsidR="00502E7D">
        <w:t>políticas económicas</w:t>
      </w:r>
      <w:r w:rsidRPr="00AB3F87">
        <w:t>.</w:t>
      </w:r>
    </w:p>
    <w:p w14:paraId="714930C1" w14:textId="77777777" w:rsidR="002E3B24" w:rsidRPr="00AB3F87" w:rsidRDefault="002E3B24" w:rsidP="002E3B24">
      <w:pPr>
        <w:pStyle w:val="Nivel2SM"/>
      </w:pPr>
      <w:r w:rsidRPr="00AB3F87">
        <w:t>La supervisión multilateral.</w:t>
      </w:r>
    </w:p>
    <w:p w14:paraId="15D4ECA2" w14:textId="77777777" w:rsidR="00C753F2" w:rsidRDefault="002E3B24" w:rsidP="00C753F2">
      <w:pPr>
        <w:pStyle w:val="Nivel1SM"/>
        <w:keepNext/>
        <w:spacing w:after="0"/>
      </w:pPr>
      <w:r w:rsidRPr="00AB3F87">
        <w:t>A nivel de armonización europea, los principales avances son en</w:t>
      </w:r>
      <w:r w:rsidR="00C753F2">
        <w:t>:</w:t>
      </w:r>
    </w:p>
    <w:p w14:paraId="03BBEFDA" w14:textId="77777777" w:rsidR="00C753F2" w:rsidRDefault="002E3B24" w:rsidP="00C753F2">
      <w:pPr>
        <w:pStyle w:val="Prrafodelista"/>
        <w:numPr>
          <w:ilvl w:val="0"/>
          <w:numId w:val="70"/>
        </w:numPr>
        <w:spacing w:after="100"/>
        <w:ind w:left="567" w:hanging="113"/>
      </w:pPr>
      <w:r w:rsidRPr="00C753F2">
        <w:rPr>
          <w:i/>
          <w:iCs/>
        </w:rPr>
        <w:t>Cuentas Nacionales</w:t>
      </w:r>
      <w:r w:rsidRPr="00AB3F87">
        <w:t xml:space="preserve"> (marco del SEC-2010),</w:t>
      </w:r>
    </w:p>
    <w:p w14:paraId="39AA2F74" w14:textId="77777777" w:rsidR="00C753F2" w:rsidRDefault="002E3B24" w:rsidP="00C753F2">
      <w:pPr>
        <w:pStyle w:val="Prrafodelista"/>
        <w:numPr>
          <w:ilvl w:val="0"/>
          <w:numId w:val="70"/>
        </w:numPr>
        <w:spacing w:after="100"/>
        <w:ind w:left="567" w:hanging="113"/>
      </w:pPr>
      <w:r w:rsidRPr="00C753F2">
        <w:rPr>
          <w:i/>
          <w:iCs/>
        </w:rPr>
        <w:t>IAPC</w:t>
      </w:r>
      <w:r w:rsidRPr="00AB3F87">
        <w:t xml:space="preserve"> (BCE)</w:t>
      </w:r>
      <w:r w:rsidR="00C753F2">
        <w:t xml:space="preserve">; </w:t>
      </w:r>
      <w:r w:rsidRPr="00AB3F87">
        <w:t>y</w:t>
      </w:r>
    </w:p>
    <w:p w14:paraId="1FE05905" w14:textId="6A7070D3" w:rsidR="002E3B24" w:rsidRPr="0040530E" w:rsidRDefault="00C753F2" w:rsidP="00C753F2">
      <w:pPr>
        <w:pStyle w:val="Prrafodelista"/>
        <w:numPr>
          <w:ilvl w:val="0"/>
          <w:numId w:val="70"/>
        </w:numPr>
        <w:spacing w:after="100"/>
        <w:ind w:left="567" w:hanging="113"/>
      </w:pPr>
      <w:r w:rsidRPr="00C753F2">
        <w:rPr>
          <w:i/>
          <w:iCs/>
        </w:rPr>
        <w:t>C</w:t>
      </w:r>
      <w:r w:rsidR="002E3B24" w:rsidRPr="00C753F2">
        <w:rPr>
          <w:i/>
          <w:iCs/>
        </w:rPr>
        <w:t>uentas públicas</w:t>
      </w:r>
      <w:r w:rsidR="002E3B24" w:rsidRPr="00AB3F87">
        <w:t xml:space="preserve"> (PEC).</w:t>
      </w:r>
    </w:p>
    <w:p w14:paraId="72CE35E8" w14:textId="23FBC293" w:rsidR="00706CC7" w:rsidRPr="001F5BD9" w:rsidRDefault="00A370B9" w:rsidP="00862861">
      <w:pPr>
        <w:pStyle w:val="Ttulo3"/>
      </w:pPr>
      <w:bookmarkStart w:id="7" w:name="_Toc177739110"/>
      <w:r w:rsidRPr="00862861">
        <w:t>Legislación</w:t>
      </w:r>
      <w:r w:rsidRPr="00AB3F87">
        <w:t xml:space="preserve"> nacional</w:t>
      </w:r>
      <w:bookmarkEnd w:id="7"/>
    </w:p>
    <w:p w14:paraId="66896442" w14:textId="1535CFB2" w:rsidR="002C50B4" w:rsidRPr="002C50B4" w:rsidRDefault="002C50B4" w:rsidP="002C50B4">
      <w:pPr>
        <w:pStyle w:val="Nivel1SM"/>
        <w:keepNext/>
        <w:spacing w:before="0" w:after="0"/>
      </w:pPr>
      <w:r>
        <w:t xml:space="preserve">A nivel </w:t>
      </w:r>
      <w:r w:rsidRPr="0076042F">
        <w:rPr>
          <w:b/>
          <w:bCs/>
        </w:rPr>
        <w:t>nacional</w:t>
      </w:r>
      <w:r>
        <w:t xml:space="preserve"> podemos destacar:</w:t>
      </w:r>
    </w:p>
    <w:p w14:paraId="6BF70029" w14:textId="1FB1F894" w:rsidR="00706CC7" w:rsidRPr="00AB3F87" w:rsidRDefault="00495AB3" w:rsidP="00960205">
      <w:pPr>
        <w:pStyle w:val="Prrafodelista"/>
        <w:keepNext/>
        <w:numPr>
          <w:ilvl w:val="0"/>
          <w:numId w:val="50"/>
        </w:numPr>
        <w:spacing w:after="0"/>
        <w:ind w:left="568" w:hanging="284"/>
      </w:pPr>
      <w:r w:rsidRPr="00960205">
        <w:rPr>
          <w:i/>
          <w:iCs/>
          <w:u w:val="single"/>
        </w:rPr>
        <w:t>Constitución española de 1978</w:t>
      </w:r>
      <w:r w:rsidR="00C25F16">
        <w:rPr>
          <w:rStyle w:val="Refdenotaalpie"/>
        </w:rPr>
        <w:footnoteReference w:id="3"/>
      </w:r>
      <w:r w:rsidRPr="00AB3F87">
        <w:t>:</w:t>
      </w:r>
    </w:p>
    <w:p w14:paraId="67D10912" w14:textId="66C2710F" w:rsidR="00706CC7" w:rsidRDefault="007D3398" w:rsidP="002C50B4">
      <w:pPr>
        <w:pStyle w:val="Nivel3SM"/>
      </w:pPr>
      <w:r>
        <w:t>En su artículo 149.1.31 d</w:t>
      </w:r>
      <w:r w:rsidR="00495AB3" w:rsidRPr="00AB3F87">
        <w:t xml:space="preserve">efine como </w:t>
      </w:r>
      <w:r w:rsidR="00495AB3" w:rsidRPr="00AB3F87">
        <w:rPr>
          <w:u w:val="single"/>
        </w:rPr>
        <w:t>competencia exclusiva del Estado</w:t>
      </w:r>
      <w:r w:rsidR="00495AB3" w:rsidRPr="00AB3F87">
        <w:t xml:space="preserve"> la elaboración de estadísticas con fines estatales</w:t>
      </w:r>
      <w:r w:rsidR="00913159" w:rsidRPr="00AB3F87">
        <w:t>.</w:t>
      </w:r>
    </w:p>
    <w:p w14:paraId="517146FE" w14:textId="70FE49CE" w:rsidR="003F74EA" w:rsidRPr="00AB3F87" w:rsidRDefault="003F74EA" w:rsidP="002C50B4">
      <w:pPr>
        <w:pStyle w:val="Nivel3SM"/>
      </w:pPr>
      <w:r>
        <w:t>Al amparo de este artículo se regula función estadística para fines estatales en la Ley 12/1989, de 9 de mayo de 1989, de la Función Estadística Pública (LFEP).</w:t>
      </w:r>
    </w:p>
    <w:p w14:paraId="5955D892" w14:textId="3932B8F4" w:rsidR="00706CC7" w:rsidRPr="00AB3F87" w:rsidRDefault="00495AB3" w:rsidP="00960205">
      <w:pPr>
        <w:pStyle w:val="Prrafodelista"/>
        <w:keepNext/>
        <w:numPr>
          <w:ilvl w:val="0"/>
          <w:numId w:val="50"/>
        </w:numPr>
        <w:spacing w:after="0"/>
        <w:ind w:left="568" w:hanging="284"/>
      </w:pPr>
      <w:r w:rsidRPr="00D25E5D">
        <w:rPr>
          <w:i/>
          <w:iCs/>
          <w:u w:val="single"/>
        </w:rPr>
        <w:lastRenderedPageBreak/>
        <w:t>Ley de la Función Estadística de 1989</w:t>
      </w:r>
      <w:r w:rsidR="007226ED" w:rsidRPr="00AB3F87">
        <w:t xml:space="preserve"> </w:t>
      </w:r>
      <w:r w:rsidR="00913159" w:rsidRPr="00AB3F87">
        <w:t>que</w:t>
      </w:r>
      <w:r w:rsidR="00AB3F87" w:rsidRPr="00AB3F87">
        <w:t xml:space="preserve"> introduce</w:t>
      </w:r>
      <w:r w:rsidR="005A62AD">
        <w:rPr>
          <w:rStyle w:val="Refdenotaalpie"/>
        </w:rPr>
        <w:footnoteReference w:id="4"/>
      </w:r>
      <w:r w:rsidR="00466114" w:rsidRPr="00AB3F87">
        <w:t>:</w:t>
      </w:r>
    </w:p>
    <w:p w14:paraId="4D623B7F" w14:textId="292050B1" w:rsidR="00466114" w:rsidRPr="00AB3F87" w:rsidRDefault="007226ED" w:rsidP="002C50B4">
      <w:pPr>
        <w:pStyle w:val="Nivel3SM"/>
        <w:keepNext/>
      </w:pPr>
      <w:r w:rsidRPr="00AB3F87">
        <w:t xml:space="preserve">Los </w:t>
      </w:r>
      <w:r w:rsidRPr="00AB3F87">
        <w:rPr>
          <w:u w:val="single"/>
        </w:rPr>
        <w:t>principios generales</w:t>
      </w:r>
      <w:r w:rsidRPr="00AB3F87">
        <w:t xml:space="preserve"> la Función Estadística Pública</w:t>
      </w:r>
      <w:r w:rsidR="00F12288">
        <w:t xml:space="preserve"> </w:t>
      </w:r>
      <w:r w:rsidR="00926D98" w:rsidRPr="00862861">
        <w:rPr>
          <w:color w:val="AEAAAA" w:themeColor="background2" w:themeShade="BF"/>
          <w:sz w:val="19"/>
          <w:szCs w:val="19"/>
        </w:rPr>
        <w:t>[</w:t>
      </w:r>
      <w:proofErr w:type="spellStart"/>
      <w:r w:rsidR="00926D98" w:rsidRPr="00862861">
        <w:rPr>
          <w:smallCaps/>
          <w:color w:val="AEAAAA" w:themeColor="background2" w:themeShade="BF"/>
          <w:sz w:val="19"/>
          <w:szCs w:val="19"/>
        </w:rPr>
        <w:t>septi</w:t>
      </w:r>
      <w:proofErr w:type="spellEnd"/>
      <w:r w:rsidR="00926D98" w:rsidRPr="00862861">
        <w:rPr>
          <w:color w:val="AEAAAA" w:themeColor="background2" w:themeShade="BF"/>
          <w:sz w:val="19"/>
          <w:szCs w:val="19"/>
        </w:rPr>
        <w:t>]</w:t>
      </w:r>
      <w:r w:rsidRPr="00AB3F87">
        <w:t>:</w:t>
      </w:r>
    </w:p>
    <w:p w14:paraId="7BFF2DF5" w14:textId="6BE67A34" w:rsidR="00FB6258" w:rsidRPr="00114160" w:rsidRDefault="00FB6258" w:rsidP="00114160">
      <w:pPr>
        <w:pStyle w:val="Nivel4"/>
        <w:ind w:left="1474"/>
      </w:pPr>
      <w:r w:rsidRPr="00114160">
        <w:rPr>
          <w:i/>
          <w:iCs/>
        </w:rPr>
        <w:t>Secreto de la información</w:t>
      </w:r>
      <w:r w:rsidR="00114160">
        <w:t xml:space="preserve">: </w:t>
      </w:r>
      <w:r w:rsidR="00706CC7" w:rsidRPr="00AB3F87">
        <w:t>L</w:t>
      </w:r>
      <w:r w:rsidR="00FB524B" w:rsidRPr="00AB3F87">
        <w:t>os datos personales obtenidos quedan ampar</w:t>
      </w:r>
      <w:r w:rsidR="00706CC7" w:rsidRPr="00AB3F87">
        <w:t>ados por el secreto estadíst</w:t>
      </w:r>
      <w:r w:rsidR="00706CC7" w:rsidRPr="00114160">
        <w:t>ico</w:t>
      </w:r>
      <w:r w:rsidRPr="00114160">
        <w:t>.</w:t>
      </w:r>
    </w:p>
    <w:p w14:paraId="2ED91EE6" w14:textId="300622FF" w:rsidR="000F30CC" w:rsidRPr="00114160" w:rsidRDefault="000F30CC" w:rsidP="00114160">
      <w:pPr>
        <w:pStyle w:val="Nivel4"/>
        <w:ind w:left="1474"/>
        <w:rPr>
          <w:spacing w:val="-5"/>
        </w:rPr>
      </w:pPr>
      <w:r w:rsidRPr="00114160">
        <w:rPr>
          <w:i/>
          <w:iCs/>
          <w:spacing w:val="-5"/>
        </w:rPr>
        <w:t>Especialidad</w:t>
      </w:r>
      <w:r w:rsidR="00114160" w:rsidRPr="00114160">
        <w:rPr>
          <w:spacing w:val="-5"/>
        </w:rPr>
        <w:t xml:space="preserve">: </w:t>
      </w:r>
      <w:r w:rsidRPr="00114160">
        <w:rPr>
          <w:spacing w:val="-5"/>
        </w:rPr>
        <w:t>Los datos recogidos deben destinarse a los fines que originaron su obtención.</w:t>
      </w:r>
    </w:p>
    <w:p w14:paraId="773E8BDE" w14:textId="09F63352" w:rsidR="000F30CC" w:rsidRPr="00114160" w:rsidRDefault="000F30CC" w:rsidP="00114160">
      <w:pPr>
        <w:pStyle w:val="Nivel4"/>
        <w:ind w:left="1474"/>
        <w:rPr>
          <w:spacing w:val="-4"/>
        </w:rPr>
      </w:pPr>
      <w:r w:rsidRPr="00114160">
        <w:rPr>
          <w:i/>
          <w:iCs/>
          <w:spacing w:val="-4"/>
        </w:rPr>
        <w:t>Proporcionalidad</w:t>
      </w:r>
      <w:r w:rsidR="00114160" w:rsidRPr="00114160">
        <w:rPr>
          <w:spacing w:val="-4"/>
        </w:rPr>
        <w:t xml:space="preserve">: </w:t>
      </w:r>
      <w:r w:rsidRPr="00114160">
        <w:rPr>
          <w:spacing w:val="-4"/>
        </w:rPr>
        <w:t>Entre la información solicitada y los resultados que se pretende obtener.</w:t>
      </w:r>
    </w:p>
    <w:p w14:paraId="5B4FAE0C" w14:textId="4176D30D" w:rsidR="001A06D9" w:rsidRPr="00114160" w:rsidRDefault="001A06D9" w:rsidP="00114160">
      <w:pPr>
        <w:pStyle w:val="Nivel4"/>
        <w:ind w:left="1474"/>
      </w:pPr>
      <w:r w:rsidRPr="00114160">
        <w:rPr>
          <w:i/>
          <w:iCs/>
        </w:rPr>
        <w:t xml:space="preserve">Transparencia </w:t>
      </w:r>
      <w:r w:rsidR="00747AE8" w:rsidRPr="00114160">
        <w:rPr>
          <w:i/>
          <w:iCs/>
        </w:rPr>
        <w:t>en</w:t>
      </w:r>
      <w:r w:rsidRPr="00114160">
        <w:rPr>
          <w:i/>
          <w:iCs/>
        </w:rPr>
        <w:t xml:space="preserve"> la recogida de datos</w:t>
      </w:r>
      <w:r w:rsidR="00114160" w:rsidRPr="00114160">
        <w:t xml:space="preserve">: </w:t>
      </w:r>
      <w:r w:rsidR="00706CC7" w:rsidRPr="00114160">
        <w:t>L</w:t>
      </w:r>
      <w:r w:rsidR="00747AE8" w:rsidRPr="00114160">
        <w:t>os sujetos que suministran datos tienen derecho a exigir información, y a recibirla, sobre la protección que se da a dichos datos y el fin con el cual se recoge dicha información</w:t>
      </w:r>
      <w:r w:rsidRPr="00114160">
        <w:t>.</w:t>
      </w:r>
    </w:p>
    <w:p w14:paraId="73F377FB" w14:textId="269230E4" w:rsidR="007226ED" w:rsidRPr="00AB3F87" w:rsidRDefault="004C5F3D" w:rsidP="00114160">
      <w:pPr>
        <w:pStyle w:val="Nivel4"/>
        <w:ind w:left="1474"/>
      </w:pPr>
      <w:r w:rsidRPr="00114160">
        <w:rPr>
          <w:i/>
          <w:iCs/>
        </w:rPr>
        <w:t>Independencia operativa del INE</w:t>
      </w:r>
      <w:r w:rsidR="00114160" w:rsidRPr="00114160">
        <w:t xml:space="preserve">: </w:t>
      </w:r>
      <w:r w:rsidR="00706CC7" w:rsidRPr="00114160">
        <w:t>E</w:t>
      </w:r>
      <w:r w:rsidR="00FB524B" w:rsidRPr="00114160">
        <w:t xml:space="preserve">l </w:t>
      </w:r>
      <w:r w:rsidR="003F7CE5" w:rsidRPr="00114160">
        <w:t>gobierno</w:t>
      </w:r>
      <w:r w:rsidR="003F7CE5" w:rsidRPr="00AB3F87">
        <w:t xml:space="preserve"> </w:t>
      </w:r>
      <w:r w:rsidR="00FB524B" w:rsidRPr="00AB3F87">
        <w:t>no debe influir en la elaboración de estadísticas, la difusión de datos…</w:t>
      </w:r>
      <w:r w:rsidR="00140F55">
        <w:rPr>
          <w:rStyle w:val="Refdenotaalpie"/>
        </w:rPr>
        <w:footnoteReference w:id="5"/>
      </w:r>
    </w:p>
    <w:p w14:paraId="5E4EC547" w14:textId="0E1BCA9C" w:rsidR="007226ED" w:rsidRPr="00AB3F87" w:rsidRDefault="004C5F3D" w:rsidP="002C50B4">
      <w:pPr>
        <w:pStyle w:val="Nivel3SM"/>
        <w:keepNext/>
      </w:pPr>
      <w:r w:rsidRPr="00D25E5D">
        <w:t xml:space="preserve">Los </w:t>
      </w:r>
      <w:r w:rsidRPr="002C50B4">
        <w:rPr>
          <w:u w:val="single"/>
        </w:rPr>
        <w:t>instrumentos estadísticos</w:t>
      </w:r>
      <w:r w:rsidR="00C753F2">
        <w:t>:</w:t>
      </w:r>
    </w:p>
    <w:p w14:paraId="0EF3209E" w14:textId="49A7D90D" w:rsidR="00913159" w:rsidRPr="00AB3F87" w:rsidRDefault="00913159" w:rsidP="002C50B4">
      <w:pPr>
        <w:pStyle w:val="Nivel4"/>
        <w:keepNext/>
        <w:ind w:left="1474"/>
      </w:pPr>
      <w:r w:rsidRPr="00AB3F87">
        <w:t xml:space="preserve">El </w:t>
      </w:r>
      <w:r w:rsidR="00DC67EA" w:rsidRPr="00DD277B">
        <w:rPr>
          <w:i/>
          <w:iCs/>
        </w:rPr>
        <w:t>Plan Estadístico Nacional</w:t>
      </w:r>
      <w:r w:rsidR="00DD277B" w:rsidRPr="00DD277B">
        <w:rPr>
          <w:i/>
          <w:iCs/>
        </w:rPr>
        <w:t xml:space="preserve"> (PEN)</w:t>
      </w:r>
      <w:r w:rsidRPr="00AB3F87">
        <w:t>:</w:t>
      </w:r>
    </w:p>
    <w:p w14:paraId="20370F7D" w14:textId="77777777" w:rsidR="00913159" w:rsidRPr="00AB3F87" w:rsidRDefault="00913159" w:rsidP="002C50B4">
      <w:pPr>
        <w:pStyle w:val="Nivel5"/>
        <w:ind w:left="1871"/>
      </w:pPr>
      <w:r w:rsidRPr="00AB3F87">
        <w:t>Es el principal instrumento ordenador de la actividad estadística de la Administración General del Estado.</w:t>
      </w:r>
    </w:p>
    <w:p w14:paraId="7B59E9D3" w14:textId="1E5F62D8" w:rsidR="007226ED" w:rsidRDefault="00913159" w:rsidP="002C50B4">
      <w:pPr>
        <w:pStyle w:val="Nivel5"/>
        <w:ind w:left="1871"/>
      </w:pPr>
      <w:r w:rsidRPr="00AB3F87">
        <w:t xml:space="preserve">Se establece por Real Decreto y tiene una </w:t>
      </w:r>
      <w:r w:rsidR="00DC67EA" w:rsidRPr="00AB3F87">
        <w:t>vigencia de 4</w:t>
      </w:r>
      <w:r w:rsidR="001F5BD9">
        <w:t> </w:t>
      </w:r>
      <w:r w:rsidR="00DC67EA" w:rsidRPr="00AB3F87">
        <w:t>años.</w:t>
      </w:r>
    </w:p>
    <w:p w14:paraId="15A8C7A4" w14:textId="40D88B46" w:rsidR="00EE300A" w:rsidRDefault="00EE300A" w:rsidP="00EE300A">
      <w:pPr>
        <w:pStyle w:val="Nivel5"/>
        <w:ind w:left="1871"/>
      </w:pPr>
      <w:r>
        <w:t>Contiene las estadísticas que han de elaborarse en el cuatrienio por los servicios de la Administración General del Estado o cualesquiera otras entidades dependientes de ella así como las que han de realizarse con participación de las comunidades autónomas y las corporaciones locales.</w:t>
      </w:r>
    </w:p>
    <w:p w14:paraId="66D24A3A" w14:textId="327CA392" w:rsidR="00EE300A" w:rsidRDefault="00EE300A" w:rsidP="00EE300A">
      <w:pPr>
        <w:pStyle w:val="Nivel5"/>
        <w:ind w:left="1871"/>
      </w:pPr>
      <w:r>
        <w:t>Todas las estadísticas incluidas en el Plan Estadístico Nacional se consideran estadísticas para fines estatales y son de cumplimentación obligatoria.</w:t>
      </w:r>
    </w:p>
    <w:p w14:paraId="3A7A37F1" w14:textId="37B6B04C" w:rsidR="0094685D" w:rsidRPr="00AB3F87" w:rsidRDefault="0094685D" w:rsidP="00EE300A">
      <w:pPr>
        <w:pStyle w:val="Nivel5"/>
        <w:ind w:left="1871"/>
      </w:pPr>
      <w:r>
        <w:t>En la actualidad se encuentra vigente el</w:t>
      </w:r>
      <w:r w:rsidRPr="0094685D">
        <w:t xml:space="preserve"> Plan Estadístico Nacional 2021-2024.</w:t>
      </w:r>
    </w:p>
    <w:p w14:paraId="436C456E" w14:textId="44D1BB25" w:rsidR="00913159" w:rsidRPr="00AB3F87" w:rsidRDefault="00913159" w:rsidP="002C50B4">
      <w:pPr>
        <w:pStyle w:val="Nivel4"/>
        <w:keepNext/>
        <w:ind w:left="1474"/>
      </w:pPr>
      <w:r w:rsidRPr="00AB3F87">
        <w:t xml:space="preserve">El </w:t>
      </w:r>
      <w:r w:rsidRPr="00DD277B">
        <w:rPr>
          <w:i/>
          <w:iCs/>
        </w:rPr>
        <w:t>Programa Anual</w:t>
      </w:r>
      <w:r w:rsidRPr="00AB3F87">
        <w:t>:</w:t>
      </w:r>
    </w:p>
    <w:p w14:paraId="2BB05784" w14:textId="0D286BDD" w:rsidR="007226ED" w:rsidRDefault="00913159" w:rsidP="002C50B4">
      <w:pPr>
        <w:pStyle w:val="Nivel5"/>
        <w:ind w:left="1871"/>
      </w:pPr>
      <w:r w:rsidRPr="00AB3F87">
        <w:t xml:space="preserve">Que también se aprueba </w:t>
      </w:r>
      <w:r w:rsidR="00DC67EA" w:rsidRPr="00AB3F87">
        <w:t>por Real Decreto</w:t>
      </w:r>
      <w:r w:rsidR="00DD277B">
        <w:t xml:space="preserve"> y contiene las actuaciones que hayan de desarrollarse en ejecución del PEN</w:t>
      </w:r>
      <w:r w:rsidR="00DC67EA" w:rsidRPr="00AB3F87">
        <w:t>.</w:t>
      </w:r>
    </w:p>
    <w:p w14:paraId="645BADBE" w14:textId="717D8B78" w:rsidR="00EE300A" w:rsidRDefault="00EE300A" w:rsidP="00EE300A">
      <w:pPr>
        <w:pStyle w:val="Nivel4"/>
        <w:keepNext/>
        <w:ind w:left="1474"/>
      </w:pPr>
      <w:r w:rsidRPr="00546095">
        <w:rPr>
          <w:i/>
          <w:iCs/>
        </w:rPr>
        <w:t>Inventario de Operaciones Estadísticas de la Administración General</w:t>
      </w:r>
      <w:r>
        <w:t>:</w:t>
      </w:r>
    </w:p>
    <w:p w14:paraId="5EF51600" w14:textId="69E269FB" w:rsidR="00EE300A" w:rsidRDefault="00EE300A" w:rsidP="002C50B4">
      <w:pPr>
        <w:pStyle w:val="Nivel5"/>
        <w:ind w:left="1871"/>
      </w:pPr>
      <w:r>
        <w:t>Es un repertorio de las operaciones estadísticas realizadas por el INE, los ministerios, el Banco de España y el Consejo general del Poder Judicial.</w:t>
      </w:r>
    </w:p>
    <w:p w14:paraId="208947FA" w14:textId="391D034B" w:rsidR="00EE300A" w:rsidRPr="00AB3F87" w:rsidRDefault="00EE300A" w:rsidP="002C50B4">
      <w:pPr>
        <w:pStyle w:val="Nivel5"/>
        <w:ind w:left="1871"/>
      </w:pPr>
      <w:r>
        <w:t>Es un instrumento fundamental para la coordinación y planificación estadística y el punto de partida para la formulación del Plan Estadístico Nacional.</w:t>
      </w:r>
    </w:p>
    <w:p w14:paraId="271A3287" w14:textId="0F44AD23" w:rsidR="00913159" w:rsidRPr="00AB3F87" w:rsidRDefault="00913159" w:rsidP="002C50B4">
      <w:pPr>
        <w:pStyle w:val="Nivel3SM"/>
      </w:pPr>
      <w:r w:rsidRPr="00D25E5D">
        <w:t xml:space="preserve">Los </w:t>
      </w:r>
      <w:r w:rsidRPr="002C50B4">
        <w:rPr>
          <w:u w:val="single"/>
        </w:rPr>
        <w:t xml:space="preserve">servicios </w:t>
      </w:r>
      <w:r w:rsidR="001B2E10" w:rsidRPr="002C50B4">
        <w:rPr>
          <w:u w:val="single"/>
        </w:rPr>
        <w:t>en materia de estadística del Estado</w:t>
      </w:r>
      <w:r w:rsidRPr="00AB3F87">
        <w:t>.</w:t>
      </w:r>
    </w:p>
    <w:p w14:paraId="37167C3E" w14:textId="6FD806C5" w:rsidR="00E42565" w:rsidRPr="00AB3F87" w:rsidRDefault="00913159" w:rsidP="002C50B4">
      <w:pPr>
        <w:pStyle w:val="Nivel3SM"/>
      </w:pPr>
      <w:r w:rsidRPr="00D25E5D">
        <w:t xml:space="preserve">Las </w:t>
      </w:r>
      <w:r w:rsidRPr="00DD277B">
        <w:rPr>
          <w:u w:val="single"/>
        </w:rPr>
        <w:t>relaciones en materia</w:t>
      </w:r>
      <w:r w:rsidRPr="002C50B4">
        <w:rPr>
          <w:u w:val="single"/>
        </w:rPr>
        <w:t xml:space="preserve"> estadística</w:t>
      </w:r>
      <w:r w:rsidRPr="00AB3F87">
        <w:t xml:space="preserve"> entre A</w:t>
      </w:r>
      <w:r w:rsidR="00D51C75">
        <w:t xml:space="preserve">dministraciones </w:t>
      </w:r>
      <w:r w:rsidRPr="00AB3F87">
        <w:t>P</w:t>
      </w:r>
      <w:r w:rsidR="00D51C75">
        <w:t>úblicas</w:t>
      </w:r>
      <w:r w:rsidRPr="00AB3F87">
        <w:t xml:space="preserve"> y la </w:t>
      </w:r>
      <w:r w:rsidR="00D51C75">
        <w:t>Unión Europea</w:t>
      </w:r>
      <w:r w:rsidRPr="00AB3F87">
        <w:t xml:space="preserve"> y otros </w:t>
      </w:r>
      <w:r w:rsidR="00D51C75">
        <w:t>Organismos Internacionales</w:t>
      </w:r>
      <w:r w:rsidR="00DD277B">
        <w:rPr>
          <w:rStyle w:val="Refdenotaalpie"/>
        </w:rPr>
        <w:footnoteReference w:id="6"/>
      </w:r>
      <w:r w:rsidRPr="00AB3F87">
        <w:t>.</w:t>
      </w:r>
    </w:p>
    <w:p w14:paraId="16025BE1" w14:textId="1C7D1966" w:rsidR="00913159" w:rsidRPr="00AB3F87" w:rsidRDefault="00913159" w:rsidP="001F5BD9">
      <w:pPr>
        <w:pStyle w:val="Ttulo3"/>
      </w:pPr>
      <w:bookmarkStart w:id="8" w:name="_Toc177739111"/>
      <w:r w:rsidRPr="00AB3F87">
        <w:t>Legislación de las CCAA</w:t>
      </w:r>
      <w:bookmarkEnd w:id="8"/>
    </w:p>
    <w:p w14:paraId="5D82B056" w14:textId="77777777" w:rsidR="00773134" w:rsidRDefault="0094685D" w:rsidP="0094685D">
      <w:pPr>
        <w:pStyle w:val="Nivel1SM"/>
        <w:keepNext/>
        <w:spacing w:before="0" w:after="0"/>
      </w:pPr>
      <w:r>
        <w:t xml:space="preserve">Dada la organización administrativa de España, </w:t>
      </w:r>
      <w:r w:rsidRPr="002B3505">
        <w:rPr>
          <w:i/>
          <w:iCs/>
        </w:rPr>
        <w:t>exi</w:t>
      </w:r>
      <w:r w:rsidR="002B3505" w:rsidRPr="002B3505">
        <w:rPr>
          <w:i/>
          <w:iCs/>
        </w:rPr>
        <w:t>ste</w:t>
      </w:r>
      <w:r w:rsidRPr="002B3505">
        <w:rPr>
          <w:i/>
          <w:iCs/>
        </w:rPr>
        <w:t xml:space="preserve"> para comunidad autónoma un sistema estadístico propio encargado de elaborar estadísticas para su ámbito territorial</w:t>
      </w:r>
      <w:r>
        <w:t>.</w:t>
      </w:r>
    </w:p>
    <w:p w14:paraId="78B36343" w14:textId="264C7073" w:rsidR="0094685D" w:rsidRDefault="0094685D" w:rsidP="00773134">
      <w:pPr>
        <w:pStyle w:val="Nivel2SM"/>
      </w:pPr>
      <w:r>
        <w:t xml:space="preserve">La referencia legal de mayor rango sobre la actividad estadística en las Comunidades Autónomas se encuentra en su </w:t>
      </w:r>
      <w:r w:rsidRPr="00773134">
        <w:rPr>
          <w:i/>
          <w:iCs/>
          <w:u w:val="single"/>
        </w:rPr>
        <w:t>Estatutos de Autonomía</w:t>
      </w:r>
      <w:r>
        <w:t xml:space="preserve">, donde se establece la </w:t>
      </w:r>
      <w:r w:rsidRPr="00773134">
        <w:rPr>
          <w:i/>
          <w:iCs/>
        </w:rPr>
        <w:t>competencia exclusiva de cada comunidad autónoma sobre la estadística para los fines de la comunidad autónoma</w:t>
      </w:r>
      <w:r w:rsidRPr="002B3505">
        <w:t>.</w:t>
      </w:r>
    </w:p>
    <w:p w14:paraId="191F1D23" w14:textId="37E574BF" w:rsidR="0094685D" w:rsidRPr="001F5BD9" w:rsidRDefault="0094685D" w:rsidP="0094685D">
      <w:pPr>
        <w:pStyle w:val="Nivel2SM"/>
      </w:pPr>
      <w:r>
        <w:lastRenderedPageBreak/>
        <w:t xml:space="preserve">Además, todas las CCAA, se han dotado de </w:t>
      </w:r>
      <w:r w:rsidRPr="00773134">
        <w:rPr>
          <w:i/>
          <w:iCs/>
          <w:u w:val="single"/>
        </w:rPr>
        <w:t>leyes estadísticas</w:t>
      </w:r>
      <w:r>
        <w:t xml:space="preserve"> que establecen la elaboración de sus propios planes estadísticos y crean sus propios Órganos Centrales de Estadística.</w:t>
      </w:r>
    </w:p>
    <w:p w14:paraId="11A43135" w14:textId="567B7ECF" w:rsidR="00AC0492" w:rsidRPr="001F5BD9" w:rsidRDefault="00AC0492" w:rsidP="001F5BD9">
      <w:pPr>
        <w:pStyle w:val="Ttulo2"/>
      </w:pPr>
      <w:bookmarkStart w:id="9" w:name="_Toc177739112"/>
      <w:r w:rsidRPr="00AB3F87">
        <w:t>Marco institucional</w:t>
      </w:r>
      <w:bookmarkEnd w:id="9"/>
    </w:p>
    <w:p w14:paraId="21AAD508" w14:textId="7641B376" w:rsidR="00A36F7E" w:rsidRPr="00ED7A0F" w:rsidRDefault="00A36F7E" w:rsidP="004D7BB6">
      <w:pPr>
        <w:pStyle w:val="Ttulo3"/>
        <w:spacing w:before="0"/>
      </w:pPr>
      <w:bookmarkStart w:id="10" w:name="_Toc177739113"/>
      <w:r w:rsidRPr="00AB3F87">
        <w:t>Organismos de carácter público</w:t>
      </w:r>
      <w:bookmarkEnd w:id="10"/>
    </w:p>
    <w:p w14:paraId="7C4EC27F" w14:textId="7BB988C0" w:rsidR="00913159" w:rsidRPr="00AB3F87" w:rsidRDefault="00913159" w:rsidP="009D4E16">
      <w:pPr>
        <w:pStyle w:val="Nivel1SM"/>
        <w:keepNext/>
        <w:spacing w:before="0" w:after="0"/>
      </w:pPr>
      <w:r w:rsidRPr="00AB3F87">
        <w:t>Por lo que se refiere al marco institucional, la estructura del sistema estadístico nacional (SEN) según la LFEP es el siguiente:</w:t>
      </w:r>
    </w:p>
    <w:p w14:paraId="796AFB6D" w14:textId="098A24C1" w:rsidR="00951A68" w:rsidRPr="00951A68" w:rsidRDefault="00951A68" w:rsidP="00951A68">
      <w:pPr>
        <w:pStyle w:val="Ttuloimagen"/>
        <w:rPr>
          <w:i/>
          <w:iCs/>
          <w:smallCaps w:val="0"/>
        </w:rPr>
      </w:pPr>
      <w:r>
        <w:t>Imagen </w:t>
      </w:r>
      <w:r>
        <w:fldChar w:fldCharType="begin"/>
      </w:r>
      <w:r>
        <w:instrText xml:space="preserve"> SEQ Ilustración \* ARABIC </w:instrText>
      </w:r>
      <w:r>
        <w:fldChar w:fldCharType="separate"/>
      </w:r>
      <w:r w:rsidR="00CD41B9">
        <w:t>1</w:t>
      </w:r>
      <w:r>
        <w:fldChar w:fldCharType="end"/>
      </w:r>
      <w:r>
        <w:rPr>
          <w:smallCaps w:val="0"/>
        </w:rPr>
        <w:t xml:space="preserve">.– </w:t>
      </w:r>
      <w:r w:rsidR="00DC1D7D">
        <w:rPr>
          <w:i/>
          <w:iCs/>
          <w:smallCaps w:val="0"/>
        </w:rPr>
        <w:t>Estructura del m</w:t>
      </w:r>
      <w:r>
        <w:rPr>
          <w:i/>
          <w:iCs/>
          <w:smallCaps w:val="0"/>
        </w:rPr>
        <w:t>arco institucional</w:t>
      </w:r>
      <w:r w:rsidR="00DC1D7D">
        <w:rPr>
          <w:i/>
          <w:iCs/>
          <w:smallCaps w:val="0"/>
        </w:rPr>
        <w:t xml:space="preserve"> del sistema estadístico nacional</w:t>
      </w:r>
    </w:p>
    <w:p w14:paraId="74888D80" w14:textId="0F278020" w:rsidR="00913159" w:rsidRDefault="00ED7A0F" w:rsidP="00951A68">
      <w:pPr>
        <w:pStyle w:val="Imagen"/>
      </w:pPr>
      <w:r w:rsidRPr="00AB3F87">
        <w:rPr>
          <w:lang w:val="en-GB" w:eastAsia="en-GB"/>
        </w:rPr>
        <w:drawing>
          <wp:inline distT="0" distB="0" distL="0" distR="0" wp14:anchorId="0706FB3D" wp14:editId="204D8A62">
            <wp:extent cx="3563667" cy="1676130"/>
            <wp:effectExtent l="0" t="0" r="0" b="635"/>
            <wp:docPr id="1" name="gráfico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s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9858" cy="1688449"/>
                    </a:xfrm>
                    <a:prstGeom prst="rect">
                      <a:avLst/>
                    </a:prstGeom>
                    <a:noFill/>
                    <a:ln>
                      <a:noFill/>
                    </a:ln>
                  </pic:spPr>
                </pic:pic>
              </a:graphicData>
            </a:graphic>
          </wp:inline>
        </w:drawing>
      </w:r>
    </w:p>
    <w:p w14:paraId="539FACA3" w14:textId="5A29C2EA" w:rsidR="00951A68" w:rsidRPr="00951A68" w:rsidRDefault="00951A68" w:rsidP="00951A68">
      <w:pPr>
        <w:pStyle w:val="PiedeImagen"/>
        <w:rPr>
          <w:i w:val="0"/>
          <w:iCs/>
        </w:rPr>
      </w:pPr>
      <w:r>
        <w:t>Fuente</w:t>
      </w:r>
      <w:r>
        <w:rPr>
          <w:i w:val="0"/>
          <w:iCs/>
        </w:rPr>
        <w:t>: …</w:t>
      </w:r>
    </w:p>
    <w:p w14:paraId="3E21BFF7" w14:textId="4E7BE764" w:rsidR="00913159" w:rsidRPr="00AB3F87" w:rsidRDefault="00913159" w:rsidP="00C70EFD">
      <w:pPr>
        <w:pStyle w:val="Prrafodelista"/>
        <w:keepNext/>
        <w:numPr>
          <w:ilvl w:val="0"/>
          <w:numId w:val="53"/>
        </w:numPr>
        <w:spacing w:after="0"/>
        <w:ind w:left="568" w:hanging="284"/>
      </w:pPr>
      <w:r w:rsidRPr="00C70EFD">
        <w:rPr>
          <w:i/>
          <w:iCs/>
          <w:u w:val="single"/>
        </w:rPr>
        <w:t>Consejo Superior de Estadística</w:t>
      </w:r>
      <w:r w:rsidRPr="00AB3F87">
        <w:t>:</w:t>
      </w:r>
    </w:p>
    <w:p w14:paraId="1BF71B1C" w14:textId="77777777" w:rsidR="002B3505" w:rsidRDefault="002B3505" w:rsidP="002B3505">
      <w:pPr>
        <w:pStyle w:val="Nivel3SM"/>
      </w:pPr>
      <w:r>
        <w:t xml:space="preserve">Se trata de un </w:t>
      </w:r>
      <w:r w:rsidRPr="004906FC">
        <w:rPr>
          <w:i/>
          <w:iCs/>
        </w:rPr>
        <w:t>órgano consultivo</w:t>
      </w:r>
      <w:r>
        <w:t xml:space="preserve"> de los servicios estadísticos estatales.</w:t>
      </w:r>
    </w:p>
    <w:p w14:paraId="17521387" w14:textId="41693082" w:rsidR="002B3505" w:rsidRDefault="002B3505" w:rsidP="00B00358">
      <w:pPr>
        <w:pStyle w:val="Nivel3SM"/>
      </w:pPr>
      <w:r>
        <w:t xml:space="preserve">Está presidido por el </w:t>
      </w:r>
      <w:r w:rsidR="00B00358" w:rsidRPr="00B00358">
        <w:t>Ministerio de Asuntos Económicos y Transformación Digital (MINECO)</w:t>
      </w:r>
      <w:r>
        <w:t xml:space="preserve"> y en él están representados los ministerios, el </w:t>
      </w:r>
      <w:proofErr w:type="spellStart"/>
      <w:r>
        <w:t>BdE</w:t>
      </w:r>
      <w:proofErr w:type="spellEnd"/>
      <w:r>
        <w:t xml:space="preserve"> y el INE, además de organizaciones sindicales y empresariales y otros grupos e instituciones sociales, económicas y académicas.</w:t>
      </w:r>
    </w:p>
    <w:p w14:paraId="0127AD16" w14:textId="77777777" w:rsidR="002B3505" w:rsidRDefault="002B3505" w:rsidP="002B3505">
      <w:pPr>
        <w:pStyle w:val="Nivel3SM"/>
        <w:keepNext/>
      </w:pPr>
      <w:r>
        <w:t>Entre sus funciones se encuentran:</w:t>
      </w:r>
    </w:p>
    <w:p w14:paraId="6664DDAF" w14:textId="1A5E19C5" w:rsidR="00A11C9C" w:rsidRPr="00A404AA" w:rsidRDefault="002B3505" w:rsidP="002B3505">
      <w:pPr>
        <w:pStyle w:val="Nivel4"/>
        <w:ind w:left="1474"/>
        <w:rPr>
          <w:spacing w:val="-5"/>
        </w:rPr>
      </w:pPr>
      <w:r w:rsidRPr="00A404AA">
        <w:rPr>
          <w:spacing w:val="-5"/>
        </w:rPr>
        <w:t>Establecer propuestas y recomendaciones para elaborar el PEN y los Programas Anuales</w:t>
      </w:r>
      <w:r w:rsidR="00A11C9C" w:rsidRPr="00A404AA">
        <w:rPr>
          <w:spacing w:val="-5"/>
        </w:rPr>
        <w:t>;</w:t>
      </w:r>
    </w:p>
    <w:p w14:paraId="44BDAC0D" w14:textId="04A8E425" w:rsidR="00A11C9C" w:rsidRDefault="00A11C9C" w:rsidP="002B3505">
      <w:pPr>
        <w:pStyle w:val="Nivel4"/>
        <w:ind w:left="1474"/>
      </w:pPr>
      <w:r>
        <w:t>E</w:t>
      </w:r>
      <w:r w:rsidR="002B3505">
        <w:t>xaminar su grado de ejecución</w:t>
      </w:r>
      <w:r>
        <w:t>;</w:t>
      </w:r>
    </w:p>
    <w:p w14:paraId="77E545A0" w14:textId="53624C40" w:rsidR="00A11C9C" w:rsidRDefault="00A11C9C" w:rsidP="002B3505">
      <w:pPr>
        <w:pStyle w:val="Nivel4"/>
        <w:ind w:left="1474"/>
      </w:pPr>
      <w:r>
        <w:t>A</w:t>
      </w:r>
      <w:r w:rsidR="002B3505">
        <w:t>tender a consultas de las comunidades autónomas y corporaciones locales sobre sus competencias</w:t>
      </w:r>
      <w:r>
        <w:t>;</w:t>
      </w:r>
      <w:r w:rsidR="002B3505">
        <w:t xml:space="preserve"> y</w:t>
      </w:r>
    </w:p>
    <w:p w14:paraId="42C3DAFD" w14:textId="31ACF5E6" w:rsidR="002B3505" w:rsidRDefault="00A11C9C" w:rsidP="002B3505">
      <w:pPr>
        <w:pStyle w:val="Nivel4"/>
        <w:ind w:left="1474"/>
      </w:pPr>
      <w:r>
        <w:t>C</w:t>
      </w:r>
      <w:r w:rsidR="002B3505">
        <w:t>ontribuir a la armonización de las estadísticas, al mejor aprovechamiento de los recursos destinados a su elaboración y a una mayor adecuación a las necesidades de información de los usuarios.</w:t>
      </w:r>
    </w:p>
    <w:p w14:paraId="2BF62120" w14:textId="56DAB161" w:rsidR="00913159" w:rsidRPr="00AB3F87" w:rsidRDefault="00913159" w:rsidP="00C70EFD">
      <w:pPr>
        <w:pStyle w:val="Prrafodelista"/>
        <w:keepNext/>
        <w:numPr>
          <w:ilvl w:val="0"/>
          <w:numId w:val="53"/>
        </w:numPr>
        <w:spacing w:after="0"/>
        <w:ind w:left="568" w:hanging="284"/>
      </w:pPr>
      <w:r w:rsidRPr="00C70EFD">
        <w:rPr>
          <w:i/>
          <w:iCs/>
          <w:u w:val="single"/>
        </w:rPr>
        <w:t>Instituto Nacional de Estadística (INE)</w:t>
      </w:r>
      <w:r w:rsidRPr="00AB3F87">
        <w:t>:</w:t>
      </w:r>
    </w:p>
    <w:p w14:paraId="1C619FFE" w14:textId="1CD38348" w:rsidR="00913159" w:rsidRPr="00AB3F87" w:rsidRDefault="00B00358" w:rsidP="00B00358">
      <w:pPr>
        <w:pStyle w:val="Nivel3SM"/>
      </w:pPr>
      <w:r>
        <w:t>Se trata de un o</w:t>
      </w:r>
      <w:r w:rsidR="00913159" w:rsidRPr="00AB3F87">
        <w:t xml:space="preserve">rganismo autónomo adscrito al </w:t>
      </w:r>
      <w:r w:rsidRPr="00B00358">
        <w:t>Ministerio de Asuntos Económicos y Transformación Digital (MINECO)</w:t>
      </w:r>
      <w:r w:rsidR="00913159" w:rsidRPr="00AB3F87">
        <w:t xml:space="preserve"> creado en 1945</w:t>
      </w:r>
      <w:r>
        <w:t>, y es el órgano central de la estadística oficial nacional.</w:t>
      </w:r>
    </w:p>
    <w:p w14:paraId="1C8381BF" w14:textId="6CEFB247" w:rsidR="00251AE3" w:rsidRDefault="00251AE3" w:rsidP="00251AE3">
      <w:pPr>
        <w:pStyle w:val="Nivel3SM"/>
      </w:pPr>
      <w:r>
        <w:t>S</w:t>
      </w:r>
      <w:r w:rsidRPr="00251AE3">
        <w:t xml:space="preserve">u presidente es nombrado y separado por el Gobierno a propuesta del </w:t>
      </w:r>
      <w:r w:rsidR="002628E9">
        <w:t>ministro de MINECO</w:t>
      </w:r>
      <w:r w:rsidRPr="00251AE3">
        <w:t>, si bien el Instituto en su conjunto debe contar con la capacidad necesaria para garantizar su neutralidad operativa, algo fundamental para la credibilidad de los datos, y más aún tras los escándalos acaecidos en los últimos años (Grecia, cuentas de las CCAA).</w:t>
      </w:r>
    </w:p>
    <w:p w14:paraId="38A88CEC" w14:textId="77777777" w:rsidR="00B75ACF" w:rsidRDefault="00B75ACF" w:rsidP="00B75ACF">
      <w:pPr>
        <w:pStyle w:val="Nivel3SM"/>
        <w:keepNext/>
      </w:pPr>
      <w:r>
        <w:t>Entre sus funciones destacan:</w:t>
      </w:r>
    </w:p>
    <w:p w14:paraId="35331AEB" w14:textId="24159C51" w:rsidR="00B75ACF" w:rsidRPr="00AB3F87" w:rsidRDefault="00B75ACF" w:rsidP="00B75ACF">
      <w:pPr>
        <w:pStyle w:val="Nivel4"/>
        <w:ind w:left="1474"/>
      </w:pPr>
      <w:r w:rsidRPr="00AB3F87">
        <w:t>Coordina y supervisa los servicios estadísticos</w:t>
      </w:r>
      <w:r>
        <w:t>;</w:t>
      </w:r>
    </w:p>
    <w:p w14:paraId="62FA5555" w14:textId="64DA4A4D" w:rsidR="00B75ACF" w:rsidRDefault="00B75ACF" w:rsidP="00B75ACF">
      <w:pPr>
        <w:pStyle w:val="Nivel4"/>
        <w:ind w:left="1474"/>
      </w:pPr>
      <w:r w:rsidRPr="00AB3F87">
        <w:t>Formula el anteproyecto del PEN</w:t>
      </w:r>
      <w:r>
        <w:t>;</w:t>
      </w:r>
    </w:p>
    <w:p w14:paraId="51F268F6" w14:textId="77777777" w:rsidR="00B75ACF" w:rsidRPr="00B75ACF" w:rsidRDefault="00B75ACF" w:rsidP="00B75ACF">
      <w:pPr>
        <w:pStyle w:val="Nivel4"/>
        <w:ind w:left="1474"/>
      </w:pPr>
      <w:r>
        <w:rPr>
          <w:rFonts w:cs="Times New Roman"/>
        </w:rPr>
        <w:t>Vigila la aplicación</w:t>
      </w:r>
      <w:r w:rsidRPr="006C2DD7">
        <w:rPr>
          <w:rFonts w:cs="Times New Roman"/>
        </w:rPr>
        <w:t xml:space="preserve"> de los principios señalados</w:t>
      </w:r>
      <w:r>
        <w:rPr>
          <w:rFonts w:cs="Times New Roman"/>
        </w:rPr>
        <w:t>;</w:t>
      </w:r>
    </w:p>
    <w:p w14:paraId="6B68979B" w14:textId="77777777" w:rsidR="00B75ACF" w:rsidRPr="00B75ACF" w:rsidRDefault="00B75ACF" w:rsidP="00B75ACF">
      <w:pPr>
        <w:pStyle w:val="Nivel4"/>
        <w:ind w:left="1474"/>
      </w:pPr>
      <w:r>
        <w:rPr>
          <w:rFonts w:cs="Times New Roman"/>
        </w:rPr>
        <w:t>E</w:t>
      </w:r>
      <w:r w:rsidRPr="006C2DD7">
        <w:rPr>
          <w:rFonts w:cs="Times New Roman"/>
        </w:rPr>
        <w:t>labora los censos demográficos y económicos</w:t>
      </w:r>
      <w:r>
        <w:rPr>
          <w:rFonts w:cs="Times New Roman"/>
        </w:rPr>
        <w:t>; y</w:t>
      </w:r>
    </w:p>
    <w:p w14:paraId="0E398421" w14:textId="09B93FCB" w:rsidR="00B75ACF" w:rsidRPr="00AB3F87" w:rsidRDefault="00B75ACF" w:rsidP="00B75ACF">
      <w:pPr>
        <w:pStyle w:val="Nivel4"/>
        <w:ind w:left="1474"/>
      </w:pPr>
      <w:r>
        <w:rPr>
          <w:rFonts w:cs="Times New Roman"/>
        </w:rPr>
        <w:t>Formula</w:t>
      </w:r>
      <w:r w:rsidRPr="006C2DD7">
        <w:rPr>
          <w:rFonts w:cs="Times New Roman"/>
        </w:rPr>
        <w:t xml:space="preserve"> un sistema integrado de cuentas e indicadores económicos, información estadística y estadísticas demográficas y sociales así como de indicadores</w:t>
      </w:r>
      <w:r>
        <w:rPr>
          <w:rFonts w:cs="Times New Roman"/>
        </w:rPr>
        <w:t>.</w:t>
      </w:r>
    </w:p>
    <w:p w14:paraId="6C0C0FAC" w14:textId="25DCA17C" w:rsidR="00A36F7E" w:rsidRPr="00AB3F87" w:rsidRDefault="00913159" w:rsidP="00C70EFD">
      <w:pPr>
        <w:pStyle w:val="Prrafodelista"/>
        <w:keepNext/>
        <w:numPr>
          <w:ilvl w:val="0"/>
          <w:numId w:val="53"/>
        </w:numPr>
        <w:spacing w:after="0"/>
        <w:ind w:left="568" w:hanging="284"/>
      </w:pPr>
      <w:r w:rsidRPr="00C70EFD">
        <w:rPr>
          <w:i/>
          <w:iCs/>
          <w:u w:val="single"/>
        </w:rPr>
        <w:t>Servicios estadísticos de los departamentos ministeriales</w:t>
      </w:r>
      <w:r w:rsidRPr="00AB3F87">
        <w:t>:</w:t>
      </w:r>
    </w:p>
    <w:p w14:paraId="25C22143" w14:textId="77777777" w:rsidR="00913159" w:rsidRPr="00AB3F87" w:rsidRDefault="00A36F7E" w:rsidP="00DC1D7D">
      <w:pPr>
        <w:pStyle w:val="Nivel3SM"/>
      </w:pPr>
      <w:r w:rsidRPr="00AB3F87">
        <w:t>P</w:t>
      </w:r>
      <w:r w:rsidR="00913159" w:rsidRPr="00AB3F87">
        <w:t>articipan en la elaboración del anteproyecto del PEN y realizan las operaciones estadísticas que éste les confía, además de otras sobre sus propias actividades.</w:t>
      </w:r>
    </w:p>
    <w:p w14:paraId="6C92CF93" w14:textId="37AEA15C" w:rsidR="00A36F7E" w:rsidRPr="00AB3F87" w:rsidRDefault="00913159" w:rsidP="00C70EFD">
      <w:pPr>
        <w:pStyle w:val="Prrafodelista"/>
        <w:keepNext/>
        <w:numPr>
          <w:ilvl w:val="0"/>
          <w:numId w:val="53"/>
        </w:numPr>
        <w:spacing w:after="0"/>
        <w:ind w:left="568" w:hanging="284"/>
      </w:pPr>
      <w:r w:rsidRPr="00C70EFD">
        <w:rPr>
          <w:i/>
          <w:iCs/>
          <w:u w:val="single"/>
        </w:rPr>
        <w:lastRenderedPageBreak/>
        <w:t>Comisión interministerial de estadística</w:t>
      </w:r>
      <w:r w:rsidRPr="00AB3F87">
        <w:t>:</w:t>
      </w:r>
    </w:p>
    <w:p w14:paraId="573223D3" w14:textId="0D30DD8F" w:rsidR="00913159" w:rsidRPr="00AB3F87" w:rsidRDefault="00AB4CD1" w:rsidP="00DC1D7D">
      <w:pPr>
        <w:pStyle w:val="Nivel3SM"/>
      </w:pPr>
      <w:r>
        <w:rPr>
          <w:rFonts w:cs="Times New Roman"/>
          <w:bCs/>
        </w:rPr>
        <w:t>P</w:t>
      </w:r>
      <w:r w:rsidR="00B75ACF" w:rsidRPr="006C2DD7">
        <w:rPr>
          <w:rFonts w:cs="Times New Roman"/>
        </w:rPr>
        <w:t>residida por el presidente del INE, e integrada por representantes del INE, de los Depart</w:t>
      </w:r>
      <w:r w:rsidR="00B75ACF">
        <w:rPr>
          <w:rFonts w:cs="Times New Roman"/>
        </w:rPr>
        <w:t xml:space="preserve">amentos ministeriales y del </w:t>
      </w:r>
      <w:proofErr w:type="spellStart"/>
      <w:r w:rsidR="00B75ACF">
        <w:rPr>
          <w:rFonts w:cs="Times New Roman"/>
        </w:rPr>
        <w:t>BdE</w:t>
      </w:r>
      <w:proofErr w:type="spellEnd"/>
      <w:r w:rsidR="00B75ACF">
        <w:rPr>
          <w:rFonts w:cs="Times New Roman"/>
        </w:rPr>
        <w:t>, t</w:t>
      </w:r>
      <w:r w:rsidR="00B75ACF" w:rsidRPr="006C2DD7">
        <w:rPr>
          <w:rFonts w:cs="Times New Roman"/>
        </w:rPr>
        <w:t>iene funciones de coordinación de los servicios estadísticos de los ministerios</w:t>
      </w:r>
      <w:r w:rsidR="00B75ACF">
        <w:rPr>
          <w:rFonts w:cs="Times New Roman"/>
        </w:rPr>
        <w:t>.</w:t>
      </w:r>
    </w:p>
    <w:p w14:paraId="07259F6F" w14:textId="17A2F68D" w:rsidR="002F0175" w:rsidRPr="002F0175" w:rsidRDefault="002F0175" w:rsidP="00C70EFD">
      <w:pPr>
        <w:pStyle w:val="Prrafodelista"/>
        <w:keepNext/>
        <w:numPr>
          <w:ilvl w:val="0"/>
          <w:numId w:val="53"/>
        </w:numPr>
        <w:spacing w:after="0"/>
        <w:ind w:left="568" w:hanging="284"/>
      </w:pPr>
      <w:r>
        <w:rPr>
          <w:i/>
          <w:iCs/>
          <w:u w:val="single"/>
        </w:rPr>
        <w:t>Servicios estadísticos de las CCAA</w:t>
      </w:r>
      <w:r>
        <w:t>.</w:t>
      </w:r>
    </w:p>
    <w:p w14:paraId="2E9320AF" w14:textId="075947D6" w:rsidR="00A36F7E" w:rsidRPr="00AB3F87" w:rsidRDefault="00913159" w:rsidP="00C70EFD">
      <w:pPr>
        <w:pStyle w:val="Prrafodelista"/>
        <w:keepNext/>
        <w:numPr>
          <w:ilvl w:val="0"/>
          <w:numId w:val="53"/>
        </w:numPr>
        <w:spacing w:after="0"/>
        <w:ind w:left="568" w:hanging="284"/>
      </w:pPr>
      <w:r w:rsidRPr="00C70EFD">
        <w:rPr>
          <w:i/>
          <w:iCs/>
          <w:u w:val="single"/>
        </w:rPr>
        <w:t>Comité interterritorial de estadística (CITE)</w:t>
      </w:r>
      <w:r w:rsidRPr="00AB3F87">
        <w:t>:</w:t>
      </w:r>
    </w:p>
    <w:p w14:paraId="5D59A4E0" w14:textId="0D1EF192" w:rsidR="00913159" w:rsidRPr="00AB3F87" w:rsidRDefault="00B75ACF" w:rsidP="00DC1D7D">
      <w:pPr>
        <w:pStyle w:val="Nivel3SM"/>
      </w:pPr>
      <w:r>
        <w:rPr>
          <w:rFonts w:cs="Times New Roman"/>
          <w:bCs/>
        </w:rPr>
        <w:t>P</w:t>
      </w:r>
      <w:r w:rsidRPr="006C2DD7">
        <w:rPr>
          <w:rFonts w:cs="Times New Roman"/>
        </w:rPr>
        <w:t>residido por el Presidente del INE, está formado por un representante de cada servicio estadístico de las CCAA y por representantes del INE y de los Departamentos Ministeriales.</w:t>
      </w:r>
      <w:r w:rsidRPr="006C2DD7">
        <w:rPr>
          <w:rFonts w:cs="Times New Roman"/>
          <w:bCs/>
        </w:rPr>
        <w:t xml:space="preserve"> Su misión consiste en </w:t>
      </w:r>
      <w:r w:rsidRPr="006C2DD7">
        <w:rPr>
          <w:rFonts w:cs="Times New Roman"/>
        </w:rPr>
        <w:t>facilitar la coordinación y potenciar la cooperación y homogenización entre los servicios estadísticos estatales y autonómicos.</w:t>
      </w:r>
    </w:p>
    <w:p w14:paraId="33FE2334" w14:textId="67BE537A" w:rsidR="00B1097B" w:rsidRPr="000436DF" w:rsidRDefault="00B1097B" w:rsidP="00C70EFD">
      <w:pPr>
        <w:pStyle w:val="Prrafodelista"/>
        <w:numPr>
          <w:ilvl w:val="0"/>
          <w:numId w:val="53"/>
        </w:numPr>
        <w:spacing w:after="100"/>
        <w:ind w:left="568" w:hanging="284"/>
        <w:rPr>
          <w:bCs/>
          <w:iCs/>
        </w:rPr>
      </w:pPr>
      <w:r w:rsidRPr="00C70EFD">
        <w:rPr>
          <w:bCs/>
          <w:i/>
          <w:u w:val="single"/>
        </w:rPr>
        <w:t>Otros</w:t>
      </w:r>
      <w:r w:rsidRPr="00862861">
        <w:rPr>
          <w:bCs/>
          <w:iCs/>
        </w:rPr>
        <w:t xml:space="preserve">: </w:t>
      </w:r>
      <w:r w:rsidR="00862861">
        <w:t>L</w:t>
      </w:r>
      <w:r w:rsidRPr="006C2DD7">
        <w:t>a Oficina del Censo Electoral, la Escuela de Estadística de las AAPP o la Oficina de Relaciones Internacionales</w:t>
      </w:r>
      <w:r w:rsidRPr="005B1FEE">
        <w:rPr>
          <w:rStyle w:val="Refdenotaalpie"/>
          <w:rFonts w:cs="Times New Roman"/>
        </w:rPr>
        <w:footnoteReference w:id="7"/>
      </w:r>
      <w:r w:rsidRPr="006C2DD7">
        <w:t>, además de las 50</w:t>
      </w:r>
      <w:r>
        <w:t> </w:t>
      </w:r>
      <w:r w:rsidRPr="006C2DD7">
        <w:t>delegaciones provinciales y 2</w:t>
      </w:r>
      <w:r>
        <w:t> </w:t>
      </w:r>
      <w:r w:rsidRPr="006C2DD7">
        <w:t>delegaciones locales (Ceuta y Melilla).</w:t>
      </w:r>
    </w:p>
    <w:p w14:paraId="37716E50" w14:textId="112E8FA0" w:rsidR="00A36F7E" w:rsidRPr="00AB3F87" w:rsidRDefault="00A36F7E" w:rsidP="00C70EFD">
      <w:pPr>
        <w:pStyle w:val="Prrafodelista"/>
        <w:keepNext/>
        <w:numPr>
          <w:ilvl w:val="0"/>
          <w:numId w:val="53"/>
        </w:numPr>
        <w:spacing w:after="0"/>
        <w:ind w:left="568" w:hanging="284"/>
      </w:pPr>
      <w:r w:rsidRPr="00AB3F87">
        <w:t xml:space="preserve">Merece mención aparte el </w:t>
      </w:r>
      <w:r w:rsidRPr="00C70EFD">
        <w:rPr>
          <w:i/>
          <w:iCs/>
          <w:u w:val="single"/>
        </w:rPr>
        <w:t>Banco de España</w:t>
      </w:r>
      <w:r w:rsidRPr="00AB3F87">
        <w:t>, que, aparte del INE, es el principal organismo de elaboración de información es</w:t>
      </w:r>
      <w:r w:rsidR="008558CC" w:rsidRPr="00AB3F87">
        <w:t>tadística económica de España.</w:t>
      </w:r>
    </w:p>
    <w:p w14:paraId="15A1C556" w14:textId="5F720D57" w:rsidR="00A36F7E" w:rsidRPr="00AB3F87" w:rsidRDefault="00A36F7E" w:rsidP="00DC1D7D">
      <w:pPr>
        <w:pStyle w:val="Nivel3SM"/>
      </w:pPr>
      <w:r w:rsidRPr="00AB3F87">
        <w:t xml:space="preserve">El </w:t>
      </w:r>
      <w:proofErr w:type="spellStart"/>
      <w:r w:rsidRPr="00AB3F87">
        <w:t>BdE</w:t>
      </w:r>
      <w:proofErr w:type="spellEnd"/>
      <w:r w:rsidRPr="00AB3F87">
        <w:t xml:space="preserve"> recoge información fundamentalmente sobre el sistema financiero (</w:t>
      </w:r>
      <w:r w:rsidR="00747951">
        <w:t>p.ej.</w:t>
      </w:r>
      <w:r w:rsidRPr="00AB3F87">
        <w:t xml:space="preserve"> cuantas financieras de la economía española) y sobre el sector exterior (balanza de pagos).</w:t>
      </w:r>
    </w:p>
    <w:p w14:paraId="27B6324A" w14:textId="1A279631" w:rsidR="00A36F7E" w:rsidRPr="009D4E16" w:rsidRDefault="00A36F7E" w:rsidP="00DC1D7D">
      <w:pPr>
        <w:pStyle w:val="Nivel3SM"/>
      </w:pPr>
      <w:r w:rsidRPr="00AB3F87">
        <w:t>También publica la Central de Balances.</w:t>
      </w:r>
    </w:p>
    <w:p w14:paraId="7DC89004" w14:textId="24BD8001" w:rsidR="00A36F7E" w:rsidRPr="00ED7A0F" w:rsidRDefault="00A36F7E" w:rsidP="00823534">
      <w:pPr>
        <w:pStyle w:val="Ttulo3"/>
      </w:pPr>
      <w:bookmarkStart w:id="11" w:name="_Toc177739114"/>
      <w:r w:rsidRPr="00AB3F87">
        <w:t>Instituciones de carácter privado</w:t>
      </w:r>
      <w:bookmarkEnd w:id="11"/>
    </w:p>
    <w:p w14:paraId="37EEEB48" w14:textId="36EAC87E" w:rsidR="00A36F7E" w:rsidRPr="009D4E16" w:rsidRDefault="00A36F7E" w:rsidP="009D4E16">
      <w:pPr>
        <w:pStyle w:val="Nivel1SM"/>
        <w:spacing w:before="0"/>
      </w:pPr>
      <w:r w:rsidRPr="00AB3F87">
        <w:t xml:space="preserve">A estos organismos de carácter público hay que añadir diversas instituciones, asociaciones y organizaciones de carácter privado que ofrecen indicadores estadísticos relevantes </w:t>
      </w:r>
      <w:r w:rsidR="009C321B">
        <w:t>(p.</w:t>
      </w:r>
      <w:r w:rsidRPr="00AB3F87">
        <w:t>e</w:t>
      </w:r>
      <w:r w:rsidR="009C321B">
        <w:t>j</w:t>
      </w:r>
      <w:r w:rsidRPr="00AB3F87">
        <w:t>. FUNCAS o SEOPAN</w:t>
      </w:r>
      <w:r w:rsidR="009C321B">
        <w:t>)</w:t>
      </w:r>
      <w:r w:rsidRPr="00AB3F87">
        <w:t>.</w:t>
      </w:r>
    </w:p>
    <w:p w14:paraId="627E4E7C" w14:textId="0A290DCA" w:rsidR="001F5BD9" w:rsidRDefault="00146832" w:rsidP="00D54E52">
      <w:pPr>
        <w:pStyle w:val="Ttulo1"/>
      </w:pPr>
      <w:bookmarkStart w:id="12" w:name="_Toc177739115"/>
      <w:r>
        <w:t xml:space="preserve">PRINCIPALES </w:t>
      </w:r>
      <w:r w:rsidR="00823534">
        <w:t>ESTADÍSTICAS</w:t>
      </w:r>
      <w:bookmarkEnd w:id="12"/>
    </w:p>
    <w:p w14:paraId="0124EEA6" w14:textId="7E3B3A68" w:rsidR="004F6BAF" w:rsidRDefault="004F6BAF" w:rsidP="005D59F5">
      <w:pPr>
        <w:pStyle w:val="Nivel1SM"/>
        <w:keepNext/>
        <w:spacing w:before="0" w:after="0"/>
      </w:pPr>
      <w:r w:rsidRPr="00030E31">
        <w:t>Una vez analizado el SEN, podemos pasar a estudiar las fuentes estadísticas propiamente dichas. Podemos distinguir 2 grandes tipos de estadísticas: las estructurales y las coyunturales.</w:t>
      </w:r>
      <w:r w:rsidR="005D59F5">
        <w:t xml:space="preserve"> Debido a la difícil catalogación de la contabilidad nacional siguiendo este criterio, dividiremos el bloque en 3 apartados:</w:t>
      </w:r>
    </w:p>
    <w:p w14:paraId="5107C938" w14:textId="3AD7C297" w:rsidR="005D59F5" w:rsidRDefault="005D59F5" w:rsidP="005D59F5">
      <w:pPr>
        <w:pStyle w:val="Prrafodelista"/>
        <w:numPr>
          <w:ilvl w:val="0"/>
          <w:numId w:val="66"/>
        </w:numPr>
        <w:spacing w:after="100"/>
        <w:ind w:left="567" w:hanging="113"/>
      </w:pPr>
      <w:r>
        <w:rPr>
          <w:i/>
          <w:iCs/>
          <w:u w:val="single"/>
        </w:rPr>
        <w:t>Estadísticas estructurales</w:t>
      </w:r>
      <w:r>
        <w:t>.</w:t>
      </w:r>
    </w:p>
    <w:p w14:paraId="7B6A7859" w14:textId="6BF7146E" w:rsidR="005D59F5" w:rsidRPr="005D59F5" w:rsidRDefault="005D59F5" w:rsidP="005D59F5">
      <w:pPr>
        <w:pStyle w:val="Prrafodelista"/>
        <w:numPr>
          <w:ilvl w:val="0"/>
          <w:numId w:val="66"/>
        </w:numPr>
        <w:spacing w:after="100"/>
        <w:ind w:left="567" w:hanging="113"/>
      </w:pPr>
      <w:r>
        <w:rPr>
          <w:i/>
          <w:iCs/>
          <w:u w:val="single"/>
        </w:rPr>
        <w:t>Estadísticas relacionadas con la contabilidad nacional y con la balanza de pagos</w:t>
      </w:r>
      <w:r>
        <w:t>.</w:t>
      </w:r>
    </w:p>
    <w:p w14:paraId="74AE9A84" w14:textId="1930AD06" w:rsidR="005D59F5" w:rsidRPr="00030E31" w:rsidRDefault="005D59F5" w:rsidP="005D59F5">
      <w:pPr>
        <w:pStyle w:val="Prrafodelista"/>
        <w:numPr>
          <w:ilvl w:val="0"/>
          <w:numId w:val="66"/>
        </w:numPr>
        <w:spacing w:after="100"/>
        <w:ind w:left="567" w:hanging="113"/>
      </w:pPr>
      <w:r>
        <w:rPr>
          <w:i/>
          <w:iCs/>
          <w:u w:val="single"/>
        </w:rPr>
        <w:t>Estadísticas coyunturales</w:t>
      </w:r>
      <w:r>
        <w:t>.</w:t>
      </w:r>
    </w:p>
    <w:p w14:paraId="749F62FC" w14:textId="77777777" w:rsidR="00030E31" w:rsidRDefault="00030E31" w:rsidP="00030E31">
      <w:pPr>
        <w:pStyle w:val="Ttulo2"/>
      </w:pPr>
      <w:bookmarkStart w:id="13" w:name="_Toc177739116"/>
      <w:r w:rsidRPr="00DD1709">
        <w:t>Estadísticas estructurales</w:t>
      </w:r>
      <w:bookmarkEnd w:id="13"/>
    </w:p>
    <w:p w14:paraId="21A55489" w14:textId="77777777" w:rsidR="00030E31" w:rsidRPr="00ED7A0F" w:rsidRDefault="00030E31" w:rsidP="00030E31">
      <w:pPr>
        <w:pStyle w:val="Ttulo3"/>
        <w:numPr>
          <w:ilvl w:val="2"/>
          <w:numId w:val="63"/>
        </w:numPr>
        <w:spacing w:before="0"/>
      </w:pPr>
      <w:bookmarkStart w:id="14" w:name="_Toc177739117"/>
      <w:r>
        <w:t>Introducción</w:t>
      </w:r>
      <w:bookmarkEnd w:id="14"/>
    </w:p>
    <w:p w14:paraId="5EA8D054" w14:textId="77777777" w:rsidR="00030E31" w:rsidRPr="00DD1709" w:rsidRDefault="00030E31" w:rsidP="00030E31">
      <w:pPr>
        <w:pStyle w:val="Nivel1SM"/>
        <w:keepNext/>
        <w:spacing w:before="0" w:after="0"/>
      </w:pPr>
      <w:r w:rsidRPr="00DD1709">
        <w:t>Las estadísticas estructurales:</w:t>
      </w:r>
    </w:p>
    <w:p w14:paraId="0D4D0813" w14:textId="77777777" w:rsidR="00030E31" w:rsidRPr="00DD1709" w:rsidRDefault="00030E31" w:rsidP="00030E31">
      <w:pPr>
        <w:pStyle w:val="Nivel2SM"/>
      </w:pPr>
      <w:r w:rsidRPr="00DD1709">
        <w:t>Miden una magnitud de la forma más precisa posible.</w:t>
      </w:r>
    </w:p>
    <w:p w14:paraId="5F3B8769" w14:textId="77777777" w:rsidR="00030E31" w:rsidRPr="00DD1709" w:rsidRDefault="00030E31" w:rsidP="00030E31">
      <w:pPr>
        <w:pStyle w:val="Nivel2SM"/>
      </w:pPr>
      <w:r w:rsidRPr="00DD1709">
        <w:t>Requieren grandes muestras o incluso la totalidad de elementos.</w:t>
      </w:r>
    </w:p>
    <w:p w14:paraId="09C69E11" w14:textId="77777777" w:rsidR="00030E31" w:rsidRPr="001F5BD9" w:rsidRDefault="00030E31" w:rsidP="00030E31">
      <w:pPr>
        <w:pStyle w:val="Nivel2SM"/>
      </w:pPr>
      <w:r w:rsidRPr="00DD1709">
        <w:t>Su elaboración es compleja y, por ello, se publican con retrasos significativos.</w:t>
      </w:r>
    </w:p>
    <w:p w14:paraId="23AA9A44" w14:textId="77777777" w:rsidR="00030E31" w:rsidRPr="00DD1709" w:rsidRDefault="00030E31" w:rsidP="00030E31">
      <w:pPr>
        <w:pStyle w:val="Nivel1SM"/>
        <w:keepNext/>
        <w:spacing w:before="0" w:after="0"/>
      </w:pPr>
      <w:r w:rsidRPr="00DD1709">
        <w:t>Se componen básicamente de censos y padrones:</w:t>
      </w:r>
    </w:p>
    <w:p w14:paraId="62ECDCFF" w14:textId="77777777" w:rsidR="00030E31" w:rsidRPr="00DD1709" w:rsidRDefault="00030E31" w:rsidP="00030E31">
      <w:pPr>
        <w:pStyle w:val="Nivel2SM"/>
        <w:keepNext/>
        <w:spacing w:after="0"/>
      </w:pPr>
      <w:r w:rsidRPr="00DD1709">
        <w:rPr>
          <w:u w:val="single"/>
        </w:rPr>
        <w:t>Censo</w:t>
      </w:r>
      <w:r w:rsidRPr="00DD1709">
        <w:t>:</w:t>
      </w:r>
    </w:p>
    <w:p w14:paraId="33E7089D" w14:textId="77777777" w:rsidR="00030E31" w:rsidRPr="00DD1709" w:rsidRDefault="00030E31" w:rsidP="00030E31">
      <w:pPr>
        <w:pStyle w:val="Nivel3SM"/>
      </w:pPr>
      <w:r w:rsidRPr="00DD1709">
        <w:t>Recuento exhaustivo de todos los individuos de una población.</w:t>
      </w:r>
      <w:r>
        <w:t xml:space="preserve"> Se realiza de forma regular en intervalos de </w:t>
      </w:r>
      <w:r>
        <w:rPr>
          <w:i/>
          <w:iCs/>
        </w:rPr>
        <w:t>x</w:t>
      </w:r>
      <w:r>
        <w:t> años</w:t>
      </w:r>
    </w:p>
    <w:p w14:paraId="4142510B" w14:textId="77777777" w:rsidR="00030E31" w:rsidRPr="00DD1709" w:rsidRDefault="00030E31" w:rsidP="00030E31">
      <w:pPr>
        <w:pStyle w:val="Nivel2SM"/>
        <w:keepNext/>
        <w:spacing w:after="0"/>
      </w:pPr>
      <w:r w:rsidRPr="00DD1709">
        <w:rPr>
          <w:u w:val="single"/>
        </w:rPr>
        <w:t>Padrón</w:t>
      </w:r>
      <w:r w:rsidRPr="00DD1709">
        <w:t>:</w:t>
      </w:r>
    </w:p>
    <w:p w14:paraId="282BDCF4" w14:textId="77777777" w:rsidR="00030E31" w:rsidRPr="00DD1709" w:rsidRDefault="00030E31" w:rsidP="00030E31">
      <w:pPr>
        <w:pStyle w:val="Nivel3SM"/>
      </w:pPr>
      <w:r w:rsidRPr="00DD1709">
        <w:t>Actualización cont</w:t>
      </w:r>
      <w:r>
        <w:t>i</w:t>
      </w:r>
      <w:r w:rsidRPr="00DD1709">
        <w:t>nua del censo para subconjuntos de esa población, registrando las modificaciones que han tenido lugar en la misma.</w:t>
      </w:r>
    </w:p>
    <w:p w14:paraId="35C83AD5" w14:textId="77777777" w:rsidR="00030E31" w:rsidRPr="00DD1709" w:rsidRDefault="00030E31" w:rsidP="00030E31">
      <w:pPr>
        <w:pStyle w:val="Nivel1SM"/>
        <w:keepNext/>
        <w:spacing w:after="0"/>
      </w:pPr>
      <w:r w:rsidRPr="00DD1709">
        <w:lastRenderedPageBreak/>
        <w:t>El censo está atravesando actualmente un momento de importantes cambios metodológicos:</w:t>
      </w:r>
    </w:p>
    <w:p w14:paraId="5D85CE13" w14:textId="77777777" w:rsidR="00030E31" w:rsidRPr="00DD1709" w:rsidRDefault="00030E31" w:rsidP="00030E31">
      <w:pPr>
        <w:pStyle w:val="Nivel2SM"/>
        <w:keepNext/>
        <w:spacing w:after="0"/>
      </w:pPr>
      <w:r w:rsidRPr="00DD1709">
        <w:t>Cambios en el modelo censal:</w:t>
      </w:r>
    </w:p>
    <w:p w14:paraId="713FA0CA" w14:textId="77777777" w:rsidR="00030E31" w:rsidRPr="00DD1709" w:rsidRDefault="00030E31" w:rsidP="00030E31">
      <w:pPr>
        <w:pStyle w:val="Nivel3SM"/>
        <w:keepNext/>
      </w:pPr>
      <w:r w:rsidRPr="00DD1709">
        <w:t>Cálculo tradicional</w:t>
      </w:r>
    </w:p>
    <w:p w14:paraId="3108692F" w14:textId="77777777" w:rsidR="00030E31" w:rsidRPr="00DD1709" w:rsidRDefault="00030E31" w:rsidP="00030E31">
      <w:pPr>
        <w:pStyle w:val="Nivel4"/>
        <w:ind w:left="1474"/>
      </w:pPr>
      <w:r w:rsidRPr="00DD1709">
        <w:t xml:space="preserve">Tradicionalmente los censos se han llevado a cabo mediante un </w:t>
      </w:r>
      <w:r w:rsidRPr="0016579A">
        <w:rPr>
          <w:b/>
        </w:rPr>
        <w:t>recorrido completo del territorio</w:t>
      </w:r>
      <w:r w:rsidRPr="00DD1709">
        <w:t xml:space="preserve"> por parte de </w:t>
      </w:r>
      <w:r w:rsidRPr="00185078">
        <w:t>agentes censales</w:t>
      </w:r>
      <w:r w:rsidRPr="00DD1709">
        <w:t>. Este ha sido el modelo utilizado en España hasta el año</w:t>
      </w:r>
      <w:r>
        <w:t> </w:t>
      </w:r>
      <w:r w:rsidRPr="00DD1709">
        <w:t>2001.</w:t>
      </w:r>
    </w:p>
    <w:p w14:paraId="2AB7F708" w14:textId="77777777" w:rsidR="00030E31" w:rsidRPr="00DD1709" w:rsidRDefault="00030E31" w:rsidP="00030E31">
      <w:pPr>
        <w:pStyle w:val="Nivel3SM"/>
        <w:keepNext/>
      </w:pPr>
      <w:r w:rsidRPr="00974CFE">
        <w:rPr>
          <w:b/>
          <w:bCs/>
        </w:rPr>
        <w:t>Registros administrativos de población (RAP)</w:t>
      </w:r>
      <w:r>
        <w:rPr>
          <w:bCs/>
        </w:rPr>
        <w:t>:</w:t>
      </w:r>
    </w:p>
    <w:p w14:paraId="6E8CC844" w14:textId="77777777" w:rsidR="00030E31" w:rsidRPr="00DD1709" w:rsidRDefault="00030E31" w:rsidP="00030E31">
      <w:pPr>
        <w:pStyle w:val="Nivel4"/>
        <w:ind w:left="1474"/>
      </w:pPr>
      <w:r w:rsidRPr="00DD1709">
        <w:t>No obstante, desde finales</w:t>
      </w:r>
      <w:r>
        <w:t xml:space="preserve"> de los años 90</w:t>
      </w:r>
      <w:r w:rsidRPr="00DD1709">
        <w:t xml:space="preserve"> algunos países han ido construyendo </w:t>
      </w:r>
      <w:r w:rsidRPr="000F30CC">
        <w:rPr>
          <w:b/>
        </w:rPr>
        <w:t>registros administrativos de población</w:t>
      </w:r>
      <w:r w:rsidRPr="00DD1709">
        <w:t xml:space="preserve">, de forma que solo con ellos, o combinando éstos con encuestas, han podido obtener cifras de población de igual o mayor calidad que las obtenidas con los censos tradicionales y con </w:t>
      </w:r>
      <w:r w:rsidRPr="00185078">
        <w:t>mayor eficiencia</w:t>
      </w:r>
      <w:r w:rsidRPr="00DD1709">
        <w:t>. Este sistema, que se inició en Dinamarca, se ha ido extendiendo a otros países europeos.</w:t>
      </w:r>
    </w:p>
    <w:p w14:paraId="29EBDB28" w14:textId="77777777" w:rsidR="00030E31" w:rsidRPr="00DD1709" w:rsidRDefault="00030E31" w:rsidP="00030E31">
      <w:pPr>
        <w:pStyle w:val="Nivel2SM"/>
        <w:keepNext/>
        <w:spacing w:after="0"/>
      </w:pPr>
      <w:r w:rsidRPr="00DD1709">
        <w:t>Cambios en la actualización de los datos censales:</w:t>
      </w:r>
    </w:p>
    <w:p w14:paraId="58434A26" w14:textId="77777777" w:rsidR="00030E31" w:rsidRPr="00DD1709" w:rsidRDefault="00030E31" w:rsidP="00030E31">
      <w:pPr>
        <w:pStyle w:val="Nivel3SM"/>
        <w:keepNext/>
      </w:pPr>
      <w:r w:rsidRPr="00DD1709">
        <w:t xml:space="preserve">Tradicionalmente, el </w:t>
      </w:r>
      <w:r w:rsidRPr="00077B1B">
        <w:t>censo lo ha elaborado el INE cada 10</w:t>
      </w:r>
      <w:r>
        <w:t> </w:t>
      </w:r>
      <w:r w:rsidRPr="00077B1B">
        <w:t>años</w:t>
      </w:r>
      <w:r w:rsidRPr="00DD1709">
        <w:t xml:space="preserve">. En cambio, a partir de </w:t>
      </w:r>
      <w:r>
        <w:t>2011</w:t>
      </w:r>
      <w:r w:rsidRPr="00DD1709">
        <w:t xml:space="preserve">, muchos de los datos que proporcionan los censos </w:t>
      </w:r>
      <w:r>
        <w:t>son</w:t>
      </w:r>
      <w:r w:rsidRPr="0016579A">
        <w:t xml:space="preserve"> actualizados anualmente</w:t>
      </w:r>
      <w:r w:rsidRPr="00DD1709">
        <w:t>.</w:t>
      </w:r>
    </w:p>
    <w:p w14:paraId="28806B9F" w14:textId="77777777" w:rsidR="00030E31" w:rsidRPr="00DD1709" w:rsidRDefault="00030E31" w:rsidP="00030E31">
      <w:pPr>
        <w:pStyle w:val="Nivel4"/>
        <w:ind w:left="1474"/>
      </w:pPr>
      <w:r>
        <w:t>Esto es</w:t>
      </w:r>
      <w:r w:rsidRPr="00DD1709">
        <w:t xml:space="preserve"> posible gracias a la “</w:t>
      </w:r>
      <w:r w:rsidRPr="00B55464">
        <w:rPr>
          <w:highlight w:val="yellow"/>
        </w:rPr>
        <w:t>Encuesta Continua de Población</w:t>
      </w:r>
      <w:r w:rsidRPr="00DD1709">
        <w:t>” que com</w:t>
      </w:r>
      <w:r>
        <w:t>i</w:t>
      </w:r>
      <w:r w:rsidRPr="00DD1709">
        <w:t>enz</w:t>
      </w:r>
      <w:r>
        <w:t>a</w:t>
      </w:r>
      <w:r w:rsidRPr="00DD1709">
        <w:t xml:space="preserve"> a realizar el INE a finales de 2012 y que est</w:t>
      </w:r>
      <w:r>
        <w:t>á</w:t>
      </w:r>
      <w:r w:rsidRPr="00DD1709">
        <w:t xml:space="preserve"> dirigida, cada año, a un porcentaje cercano al 0,5</w:t>
      </w:r>
      <w:r>
        <w:t> </w:t>
      </w:r>
      <w:r w:rsidRPr="00DD1709">
        <w:t>% de la población.</w:t>
      </w:r>
    </w:p>
    <w:p w14:paraId="61AD881A" w14:textId="77777777" w:rsidR="00030E31" w:rsidRPr="009701B7" w:rsidRDefault="00030E31" w:rsidP="00030E31">
      <w:pPr>
        <w:pStyle w:val="Nivel1SM"/>
        <w:keepNext/>
        <w:spacing w:before="0" w:after="0"/>
        <w:rPr>
          <w:spacing w:val="-6"/>
        </w:rPr>
      </w:pPr>
      <w:r w:rsidRPr="009701B7">
        <w:rPr>
          <w:spacing w:val="-6"/>
        </w:rPr>
        <w:t xml:space="preserve">Entre las estadísticas estructurales podemos distinguir </w:t>
      </w:r>
      <w:r w:rsidRPr="009701B7">
        <w:rPr>
          <w:i/>
          <w:iCs/>
          <w:spacing w:val="-6"/>
          <w:u w:val="single"/>
        </w:rPr>
        <w:t>estadísticas sociodemográficas</w:t>
      </w:r>
      <w:r w:rsidRPr="009701B7">
        <w:rPr>
          <w:spacing w:val="-6"/>
        </w:rPr>
        <w:t xml:space="preserve"> y </w:t>
      </w:r>
      <w:r w:rsidRPr="009701B7">
        <w:rPr>
          <w:i/>
          <w:iCs/>
          <w:spacing w:val="-6"/>
          <w:u w:val="single"/>
        </w:rPr>
        <w:t>estadísticas económicas</w:t>
      </w:r>
      <w:r w:rsidRPr="009701B7">
        <w:rPr>
          <w:spacing w:val="-6"/>
        </w:rPr>
        <w:t>:</w:t>
      </w:r>
    </w:p>
    <w:p w14:paraId="594B4960" w14:textId="77777777" w:rsidR="00030E31" w:rsidRPr="009701B7" w:rsidRDefault="00030E31" w:rsidP="00030E31">
      <w:pPr>
        <w:pStyle w:val="Ttulo3"/>
      </w:pPr>
      <w:bookmarkStart w:id="15" w:name="_Toc177739118"/>
      <w:r>
        <w:t>Sociodemográficas</w:t>
      </w:r>
      <w:bookmarkEnd w:id="15"/>
    </w:p>
    <w:p w14:paraId="384AD259" w14:textId="1B2D16BE" w:rsidR="00030E31" w:rsidRPr="00ED7A0F" w:rsidRDefault="00030E31" w:rsidP="001A76E4">
      <w:pPr>
        <w:pStyle w:val="Ttulo6"/>
        <w:numPr>
          <w:ilvl w:val="0"/>
          <w:numId w:val="67"/>
        </w:numPr>
        <w:spacing w:before="0"/>
        <w:ind w:left="0" w:hanging="284"/>
      </w:pPr>
      <w:bookmarkStart w:id="16" w:name="_Toc177739119"/>
      <w:r w:rsidRPr="00DD1709">
        <w:t>Censo de población</w:t>
      </w:r>
      <w:bookmarkEnd w:id="16"/>
    </w:p>
    <w:p w14:paraId="29747E72" w14:textId="70B5E187" w:rsidR="00030E31" w:rsidRDefault="003F073E" w:rsidP="00030E31">
      <w:pPr>
        <w:pStyle w:val="Nivel2SM"/>
        <w:keepNext/>
        <w:spacing w:after="0"/>
      </w:pPr>
      <w:r>
        <w:t xml:space="preserve">El </w:t>
      </w:r>
      <w:r>
        <w:rPr>
          <w:b/>
          <w:bCs/>
        </w:rPr>
        <w:t>censo de población</w:t>
      </w:r>
      <w:r w:rsidRPr="003F073E">
        <w:t xml:space="preserve"> r</w:t>
      </w:r>
      <w:r w:rsidR="00030E31" w:rsidRPr="00DD1709">
        <w:t xml:space="preserve">ecoge información sobre la </w:t>
      </w:r>
      <w:r w:rsidR="00030E31" w:rsidRPr="005C453F">
        <w:rPr>
          <w:i/>
          <w:iCs/>
        </w:rPr>
        <w:t>población existente en un momento puntual del tiempo</w:t>
      </w:r>
      <w:r w:rsidR="00030E31" w:rsidRPr="00DD1709">
        <w:t xml:space="preserve"> (permite conocer </w:t>
      </w:r>
      <w:r w:rsidR="00030E31" w:rsidRPr="005C453F">
        <w:t>características demográficas</w:t>
      </w:r>
      <w:r w:rsidR="00030E31" w:rsidRPr="00DD1709">
        <w:t>, geográficas, culturales).</w:t>
      </w:r>
    </w:p>
    <w:p w14:paraId="75239448" w14:textId="77777777" w:rsidR="00030E31" w:rsidRPr="00AC35ED" w:rsidRDefault="00030E31" w:rsidP="00030E31">
      <w:pPr>
        <w:pStyle w:val="Nivel3SM"/>
        <w:rPr>
          <w:spacing w:val="-4"/>
        </w:rPr>
      </w:pPr>
      <w:r w:rsidRPr="00AC35ED">
        <w:rPr>
          <w:spacing w:val="-4"/>
        </w:rPr>
        <w:t xml:space="preserve">Por ejemplo permite conocer las características de la </w:t>
      </w:r>
      <w:r w:rsidRPr="00AC35ED">
        <w:rPr>
          <w:i/>
          <w:iCs/>
          <w:spacing w:val="-4"/>
          <w:u w:val="single"/>
        </w:rPr>
        <w:t>población</w:t>
      </w:r>
      <w:r w:rsidRPr="00AC35ED">
        <w:rPr>
          <w:spacing w:val="-4"/>
        </w:rPr>
        <w:t xml:space="preserve"> (su número, sexo, edad, nacionalidad, nivel de estudios, situación laboral, migraciones y movilidad, etc.), de los </w:t>
      </w:r>
      <w:r w:rsidRPr="00AC35ED">
        <w:rPr>
          <w:i/>
          <w:iCs/>
          <w:spacing w:val="-4"/>
          <w:u w:val="single"/>
        </w:rPr>
        <w:t>hogares</w:t>
      </w:r>
      <w:r w:rsidRPr="00AC35ED">
        <w:rPr>
          <w:spacing w:val="-4"/>
        </w:rPr>
        <w:t xml:space="preserve"> (su tamaño, composición, etc.), los </w:t>
      </w:r>
      <w:r w:rsidRPr="00AC35ED">
        <w:rPr>
          <w:i/>
          <w:iCs/>
          <w:spacing w:val="-4"/>
          <w:u w:val="single"/>
        </w:rPr>
        <w:t>edificios</w:t>
      </w:r>
      <w:r w:rsidRPr="00AC35ED">
        <w:rPr>
          <w:spacing w:val="-4"/>
        </w:rPr>
        <w:t xml:space="preserve"> (número de plantas, estado, año de construcción, etc.) y las </w:t>
      </w:r>
      <w:r w:rsidRPr="00AC35ED">
        <w:rPr>
          <w:i/>
          <w:iCs/>
          <w:spacing w:val="-4"/>
          <w:u w:val="single"/>
        </w:rPr>
        <w:t>viviendas</w:t>
      </w:r>
      <w:r w:rsidRPr="00AC35ED">
        <w:rPr>
          <w:spacing w:val="-4"/>
        </w:rPr>
        <w:t xml:space="preserve"> (régimen de tenencia, superficie, número de habitaciones, etc.).</w:t>
      </w:r>
    </w:p>
    <w:p w14:paraId="70FC8930" w14:textId="77777777" w:rsidR="00030E31" w:rsidRPr="00DD1709" w:rsidRDefault="00030E31" w:rsidP="00030E31">
      <w:pPr>
        <w:pStyle w:val="Nivel2SM"/>
      </w:pPr>
      <w:r w:rsidRPr="00DD1709">
        <w:t xml:space="preserve">Además, sirve de </w:t>
      </w:r>
      <w:r w:rsidRPr="004C5F3D">
        <w:rPr>
          <w:u w:val="single"/>
        </w:rPr>
        <w:t>marco estadístico</w:t>
      </w:r>
      <w:r w:rsidRPr="00DD1709">
        <w:t xml:space="preserve"> para la elaboración de cualquier estadística que tenga por referencia la población (p.ej. la EPA).</w:t>
      </w:r>
    </w:p>
    <w:p w14:paraId="2327DA2B" w14:textId="4C6A674D" w:rsidR="00030E31" w:rsidRPr="00DD1709" w:rsidRDefault="00030E31" w:rsidP="001A76E4">
      <w:pPr>
        <w:pStyle w:val="Ttulo6"/>
        <w:numPr>
          <w:ilvl w:val="0"/>
          <w:numId w:val="67"/>
        </w:numPr>
        <w:ind w:left="0" w:hanging="284"/>
      </w:pPr>
      <w:bookmarkStart w:id="17" w:name="_Toc177739120"/>
      <w:r w:rsidRPr="00DD1709">
        <w:t>Padrón municipal</w:t>
      </w:r>
      <w:bookmarkEnd w:id="17"/>
    </w:p>
    <w:p w14:paraId="4AE97478" w14:textId="1BEDB5FC" w:rsidR="00030E31" w:rsidRDefault="00030E31" w:rsidP="00030E31">
      <w:pPr>
        <w:pStyle w:val="Nivel2SM"/>
        <w:keepNext/>
        <w:spacing w:after="0"/>
      </w:pPr>
      <w:r w:rsidRPr="00DD1709">
        <w:t xml:space="preserve">El </w:t>
      </w:r>
      <w:r w:rsidR="003F073E" w:rsidRPr="003F073E">
        <w:rPr>
          <w:b/>
          <w:bCs/>
        </w:rPr>
        <w:t>p</w:t>
      </w:r>
      <w:r w:rsidRPr="003F073E">
        <w:rPr>
          <w:b/>
          <w:bCs/>
        </w:rPr>
        <w:t>adrón municipal</w:t>
      </w:r>
      <w:r w:rsidRPr="00DD1709">
        <w:t xml:space="preserve"> es un </w:t>
      </w:r>
      <w:r w:rsidRPr="008C27E7">
        <w:rPr>
          <w:i/>
          <w:iCs/>
        </w:rPr>
        <w:t>registro administrativo donde constan los vecinos de cada municipio</w:t>
      </w:r>
      <w:r w:rsidRPr="00DD1709">
        <w:t>. Las cifras del pa</w:t>
      </w:r>
      <w:r>
        <w:t>d</w:t>
      </w:r>
      <w:r w:rsidRPr="00DD1709">
        <w:t>rón se actualizan cada año.</w:t>
      </w:r>
    </w:p>
    <w:p w14:paraId="7925F90E" w14:textId="77777777" w:rsidR="00030E31" w:rsidRDefault="00030E31" w:rsidP="00030E31">
      <w:pPr>
        <w:pStyle w:val="Nivel3SM"/>
      </w:pPr>
      <w:r>
        <w:t>Corresponde a los ayuntamientos su formación, mantenimiento, revisión y custodia, y deben remitir al INE las variaciones mensuales que en ellos se producen.</w:t>
      </w:r>
    </w:p>
    <w:p w14:paraId="40D089A5" w14:textId="23142E59" w:rsidR="00030E31" w:rsidRPr="008C27E7" w:rsidRDefault="00030E31" w:rsidP="00030E31">
      <w:pPr>
        <w:pStyle w:val="Nivel2SM"/>
      </w:pPr>
      <w:r>
        <w:t xml:space="preserve">Este registro permite la </w:t>
      </w:r>
      <w:r w:rsidRPr="008C27E7">
        <w:rPr>
          <w:i/>
          <w:iCs/>
          <w:u w:val="single"/>
        </w:rPr>
        <w:t>estadística del pa</w:t>
      </w:r>
      <w:r w:rsidR="008A4563">
        <w:rPr>
          <w:i/>
          <w:iCs/>
          <w:u w:val="single"/>
        </w:rPr>
        <w:t>d</w:t>
      </w:r>
      <w:r w:rsidRPr="008C27E7">
        <w:rPr>
          <w:i/>
          <w:iCs/>
          <w:u w:val="single"/>
        </w:rPr>
        <w:t>rón continuo</w:t>
      </w:r>
      <w:r>
        <w:t>. Se trata de una operación en la que el INE ofrece información relativa a la población residente en España a 1 de enero de cada año, según lugar de residencia, sexo, edad, nacionalidad y lugar de nacimiento, a partir de la explotación exhaustiva de los padrones municipales</w:t>
      </w:r>
      <w:r>
        <w:rPr>
          <w:rStyle w:val="Refdenotaalpie"/>
        </w:rPr>
        <w:footnoteReference w:id="8"/>
      </w:r>
      <w:r>
        <w:t>.</w:t>
      </w:r>
    </w:p>
    <w:p w14:paraId="1B3D46A6" w14:textId="09A405E5" w:rsidR="00030E31" w:rsidRPr="00DD1709" w:rsidRDefault="00030E31" w:rsidP="001A76E4">
      <w:pPr>
        <w:pStyle w:val="Ttulo6"/>
        <w:numPr>
          <w:ilvl w:val="0"/>
          <w:numId w:val="67"/>
        </w:numPr>
        <w:ind w:left="0" w:hanging="284"/>
      </w:pPr>
      <w:bookmarkStart w:id="18" w:name="_Toc177739121"/>
      <w:r w:rsidRPr="00DD1709">
        <w:lastRenderedPageBreak/>
        <w:t>Censo electoral</w:t>
      </w:r>
      <w:bookmarkEnd w:id="18"/>
    </w:p>
    <w:p w14:paraId="18CC21A1" w14:textId="77777777" w:rsidR="00030E31" w:rsidRPr="00DD1709" w:rsidRDefault="00030E31" w:rsidP="00030E31">
      <w:pPr>
        <w:pStyle w:val="Nivel2SM"/>
        <w:keepNext/>
        <w:spacing w:after="0"/>
      </w:pPr>
      <w:r w:rsidRPr="00DD1709">
        <w:t xml:space="preserve">El </w:t>
      </w:r>
      <w:r w:rsidRPr="002F1172">
        <w:rPr>
          <w:b/>
          <w:bCs/>
        </w:rPr>
        <w:t>censo electoral</w:t>
      </w:r>
      <w:r w:rsidRPr="00DD1709">
        <w:t xml:space="preserve"> contiene la inscripción de quienes reúnen los requisitos para ser elector y se actualiza mensualmente</w:t>
      </w:r>
      <w:r>
        <w:rPr>
          <w:rStyle w:val="Refdenotaalpie"/>
        </w:rPr>
        <w:footnoteReference w:id="9"/>
      </w:r>
      <w:r w:rsidRPr="00DD1709">
        <w:t>. Entre estos se encuentra:</w:t>
      </w:r>
    </w:p>
    <w:p w14:paraId="6A32D05D" w14:textId="77777777" w:rsidR="00030E31" w:rsidRPr="00DD1709" w:rsidRDefault="00030E31" w:rsidP="00030E31">
      <w:pPr>
        <w:pStyle w:val="Nivel3SM"/>
      </w:pPr>
      <w:r w:rsidRPr="00DD1709">
        <w:t>El censo electoral de españoles residentes en España</w:t>
      </w:r>
      <w:r>
        <w:t xml:space="preserve"> (CER)</w:t>
      </w:r>
      <w:r w:rsidRPr="00DD1709">
        <w:t>.</w:t>
      </w:r>
    </w:p>
    <w:p w14:paraId="3A706670" w14:textId="77777777" w:rsidR="00030E31" w:rsidRDefault="00030E31" w:rsidP="00030E31">
      <w:pPr>
        <w:pStyle w:val="Nivel3SM"/>
      </w:pPr>
      <w:r w:rsidRPr="00DD1709">
        <w:t>El censo de los electores residentes-ausentes que viven en el extranjero</w:t>
      </w:r>
      <w:r>
        <w:t xml:space="preserve"> (CERA)</w:t>
      </w:r>
      <w:r w:rsidRPr="00DD1709">
        <w:t>.</w:t>
      </w:r>
    </w:p>
    <w:p w14:paraId="0516AAB0" w14:textId="77777777" w:rsidR="00030E31" w:rsidRPr="009701B7" w:rsidRDefault="00030E31" w:rsidP="00030E31">
      <w:pPr>
        <w:pStyle w:val="Nivel3SM"/>
      </w:pPr>
      <w:r>
        <w:t>El censo electoral de extranjeros residentes en España (CERE).</w:t>
      </w:r>
    </w:p>
    <w:p w14:paraId="519EC6CD" w14:textId="2B3C13E3" w:rsidR="00030E31" w:rsidRPr="00DD1709" w:rsidRDefault="00030E31" w:rsidP="001A76E4">
      <w:pPr>
        <w:pStyle w:val="Ttulo6"/>
        <w:numPr>
          <w:ilvl w:val="0"/>
          <w:numId w:val="67"/>
        </w:numPr>
        <w:ind w:left="0" w:hanging="284"/>
      </w:pPr>
      <w:bookmarkStart w:id="19" w:name="_Toc177739122"/>
      <w:r w:rsidRPr="004C5F3D">
        <w:t>Estadísticas del Movimiento Natural de la Población</w:t>
      </w:r>
      <w:bookmarkEnd w:id="19"/>
    </w:p>
    <w:p w14:paraId="533D8E66" w14:textId="77777777" w:rsidR="00030E31" w:rsidRPr="00DD1709" w:rsidRDefault="00030E31" w:rsidP="00030E31">
      <w:pPr>
        <w:pStyle w:val="Nivel2SM"/>
      </w:pPr>
      <w:r w:rsidRPr="00DD1709">
        <w:t>Se refieren a los nacimientos, matrimonios y defunciones ocurridos en territorio nacional.</w:t>
      </w:r>
    </w:p>
    <w:p w14:paraId="7B8CB66B" w14:textId="3CAE17DB" w:rsidR="00030E31" w:rsidRPr="00DD1709" w:rsidRDefault="00030E31" w:rsidP="001A76E4">
      <w:pPr>
        <w:pStyle w:val="Ttulo6"/>
        <w:numPr>
          <w:ilvl w:val="0"/>
          <w:numId w:val="67"/>
        </w:numPr>
        <w:ind w:left="0" w:hanging="284"/>
      </w:pPr>
      <w:bookmarkStart w:id="20" w:name="_Toc177739123"/>
      <w:r w:rsidRPr="004C5F3D">
        <w:t>Encuesta de migraciones</w:t>
      </w:r>
      <w:bookmarkEnd w:id="20"/>
    </w:p>
    <w:p w14:paraId="603F1F21" w14:textId="77777777" w:rsidR="00030E31" w:rsidRPr="001F5BD9" w:rsidRDefault="00030E31" w:rsidP="00030E31">
      <w:pPr>
        <w:pStyle w:val="Nivel2SM"/>
      </w:pPr>
      <w:r w:rsidRPr="00DD1709">
        <w:t>Sobre migraciones interiores y del extranjero.</w:t>
      </w:r>
    </w:p>
    <w:p w14:paraId="709A235B" w14:textId="77777777" w:rsidR="00030E31" w:rsidRDefault="00030E31" w:rsidP="00030E31">
      <w:pPr>
        <w:pStyle w:val="Ttulo3"/>
      </w:pPr>
      <w:bookmarkStart w:id="21" w:name="_Toc177739124"/>
      <w:r>
        <w:t>Económicas</w:t>
      </w:r>
      <w:bookmarkEnd w:id="21"/>
      <w:r w:rsidRPr="00DD1709">
        <w:t xml:space="preserve"> </w:t>
      </w:r>
    </w:p>
    <w:p w14:paraId="644B4940" w14:textId="77777777" w:rsidR="00030E31" w:rsidRPr="00DD1709" w:rsidRDefault="00030E31" w:rsidP="00030E31">
      <w:pPr>
        <w:pStyle w:val="Nivel1SM"/>
        <w:keepNext/>
        <w:spacing w:before="0" w:after="0"/>
      </w:pPr>
      <w:r>
        <w:t>E</w:t>
      </w:r>
      <w:r w:rsidRPr="00DD1709">
        <w:t>ntre otras muchas, cabe destacar las siguientes</w:t>
      </w:r>
      <w:r>
        <w:t xml:space="preserve"> estadísticas:</w:t>
      </w:r>
    </w:p>
    <w:p w14:paraId="37460B5F" w14:textId="07BC12BE" w:rsidR="00030E31" w:rsidRPr="00DD1709" w:rsidRDefault="00030E31" w:rsidP="000C195D">
      <w:pPr>
        <w:pStyle w:val="Ttulo6"/>
        <w:numPr>
          <w:ilvl w:val="0"/>
          <w:numId w:val="68"/>
        </w:numPr>
        <w:ind w:left="0" w:hanging="284"/>
      </w:pPr>
      <w:bookmarkStart w:id="22" w:name="_Toc177739125"/>
      <w:r w:rsidRPr="00DD1709">
        <w:t>Directorio Central de Empresas (DI</w:t>
      </w:r>
      <w:r>
        <w:t>R</w:t>
      </w:r>
      <w:r w:rsidRPr="00DD1709">
        <w:t>CE)</w:t>
      </w:r>
      <w:bookmarkEnd w:id="22"/>
    </w:p>
    <w:p w14:paraId="152EFD4D" w14:textId="77777777" w:rsidR="00030E31" w:rsidRPr="002154A9" w:rsidRDefault="00030E31" w:rsidP="00030E31">
      <w:pPr>
        <w:pStyle w:val="Nivel2SM"/>
      </w:pPr>
      <w:r w:rsidRPr="00DD1709">
        <w:t xml:space="preserve">Es un </w:t>
      </w:r>
      <w:r w:rsidRPr="0085583B">
        <w:rPr>
          <w:b/>
          <w:bCs/>
        </w:rPr>
        <w:t>directorio de</w:t>
      </w:r>
      <w:r>
        <w:rPr>
          <w:b/>
          <w:bCs/>
        </w:rPr>
        <w:t xml:space="preserve"> todas las</w:t>
      </w:r>
      <w:r w:rsidRPr="0085583B">
        <w:rPr>
          <w:b/>
          <w:bCs/>
        </w:rPr>
        <w:t xml:space="preserve"> empresas </w:t>
      </w:r>
      <w:r>
        <w:rPr>
          <w:b/>
          <w:bCs/>
        </w:rPr>
        <w:t xml:space="preserve">españolas </w:t>
      </w:r>
      <w:r w:rsidRPr="0085583B">
        <w:rPr>
          <w:b/>
          <w:bCs/>
        </w:rPr>
        <w:t>no agrarias</w:t>
      </w:r>
      <w:r w:rsidRPr="00DD1709">
        <w:t xml:space="preserve"> clasificadas por </w:t>
      </w:r>
      <w:r w:rsidRPr="003654B7">
        <w:t>actividad, tamaño y localización</w:t>
      </w:r>
      <w:r w:rsidRPr="00DD1709">
        <w:t>.</w:t>
      </w:r>
    </w:p>
    <w:p w14:paraId="5509D469" w14:textId="77777777" w:rsidR="000C195D" w:rsidRPr="00DD1709" w:rsidRDefault="000C195D" w:rsidP="000C195D">
      <w:pPr>
        <w:pStyle w:val="Ttulo6"/>
        <w:numPr>
          <w:ilvl w:val="0"/>
          <w:numId w:val="68"/>
        </w:numPr>
        <w:ind w:left="0" w:hanging="284"/>
      </w:pPr>
      <w:bookmarkStart w:id="23" w:name="_Toc177739126"/>
      <w:r w:rsidRPr="00DD1709">
        <w:t>Censo agrario</w:t>
      </w:r>
      <w:bookmarkEnd w:id="23"/>
    </w:p>
    <w:p w14:paraId="75269C14" w14:textId="77777777" w:rsidR="000C195D" w:rsidRPr="00DD1709" w:rsidRDefault="000C195D" w:rsidP="000C195D">
      <w:pPr>
        <w:pStyle w:val="Nivel2SM"/>
      </w:pPr>
      <w:r w:rsidRPr="00DD1709">
        <w:t xml:space="preserve">Proporciona </w:t>
      </w:r>
      <w:r w:rsidRPr="003654B7">
        <w:rPr>
          <w:b/>
        </w:rPr>
        <w:t>información sobre las explotaciones agrícolas</w:t>
      </w:r>
      <w:r w:rsidRPr="00DD1709">
        <w:t xml:space="preserve"> (organización y la estructura del sector, utilización de recursos como la tierra, el agua, la maquinaria y la mano de obra, etc.).</w:t>
      </w:r>
    </w:p>
    <w:p w14:paraId="653EA698" w14:textId="77777777" w:rsidR="000C195D" w:rsidRPr="00DD1709" w:rsidRDefault="000C195D" w:rsidP="000C195D">
      <w:pPr>
        <w:pStyle w:val="Nivel2SM"/>
      </w:pPr>
      <w:r w:rsidRPr="00DD1709">
        <w:t xml:space="preserve">Lo elabora el INE </w:t>
      </w:r>
      <w:r>
        <w:t>cada 10 años</w:t>
      </w:r>
      <w:r w:rsidRPr="00DD1709">
        <w:t>.</w:t>
      </w:r>
    </w:p>
    <w:p w14:paraId="2F8A14D3" w14:textId="77777777" w:rsidR="000C195D" w:rsidRPr="005C453F" w:rsidRDefault="000C195D" w:rsidP="000C195D">
      <w:pPr>
        <w:pStyle w:val="Nivel2SM"/>
      </w:pPr>
      <w:r w:rsidRPr="00DD1709">
        <w:t xml:space="preserve">Importante para la </w:t>
      </w:r>
      <w:r w:rsidRPr="003654B7">
        <w:rPr>
          <w:b/>
        </w:rPr>
        <w:t>PAC</w:t>
      </w:r>
      <w:r w:rsidRPr="00DD1709">
        <w:t>.</w:t>
      </w:r>
    </w:p>
    <w:p w14:paraId="46B838E1" w14:textId="7DCDCA9C" w:rsidR="00030E31" w:rsidRPr="00DD1709" w:rsidRDefault="00030E31" w:rsidP="000C195D">
      <w:pPr>
        <w:pStyle w:val="Ttulo6"/>
        <w:numPr>
          <w:ilvl w:val="0"/>
          <w:numId w:val="68"/>
        </w:numPr>
        <w:ind w:left="0" w:hanging="284"/>
      </w:pPr>
      <w:bookmarkStart w:id="24" w:name="_Toc177739127"/>
      <w:r w:rsidRPr="00DD1709">
        <w:t>Encuesta Industrial de Empresas</w:t>
      </w:r>
      <w:bookmarkEnd w:id="24"/>
    </w:p>
    <w:p w14:paraId="246AFBA3" w14:textId="77777777" w:rsidR="00030E31" w:rsidRPr="005757F8" w:rsidRDefault="00030E31" w:rsidP="00030E31">
      <w:pPr>
        <w:pStyle w:val="Nivel2SM"/>
      </w:pPr>
      <w:r w:rsidRPr="00DD1709">
        <w:t xml:space="preserve">Proporciona </w:t>
      </w:r>
      <w:r w:rsidRPr="003654B7">
        <w:rPr>
          <w:u w:val="single"/>
        </w:rPr>
        <w:t>información de los distintos sectores que constituyen la actividad industrial</w:t>
      </w:r>
      <w:r>
        <w:t xml:space="preserve">. </w:t>
      </w:r>
      <w:r w:rsidRPr="003654B7">
        <w:rPr>
          <w:b/>
        </w:rPr>
        <w:t>Complementa al DI</w:t>
      </w:r>
      <w:r>
        <w:rPr>
          <w:b/>
        </w:rPr>
        <w:t>R</w:t>
      </w:r>
      <w:r w:rsidRPr="003654B7">
        <w:rPr>
          <w:b/>
        </w:rPr>
        <w:t>CE</w:t>
      </w:r>
      <w:r>
        <w:t xml:space="preserve"> con </w:t>
      </w:r>
      <w:r w:rsidRPr="003654B7">
        <w:rPr>
          <w:b/>
        </w:rPr>
        <w:t>información financiera y operativa</w:t>
      </w:r>
      <w:r w:rsidRPr="003654B7">
        <w:t xml:space="preserve">. Además, se obtienen datos sobre la </w:t>
      </w:r>
      <w:r w:rsidRPr="003654B7">
        <w:rPr>
          <w:b/>
        </w:rPr>
        <w:t>inversión realizada</w:t>
      </w:r>
      <w:r w:rsidRPr="003654B7">
        <w:t xml:space="preserve"> y los </w:t>
      </w:r>
      <w:r w:rsidRPr="003654B7">
        <w:rPr>
          <w:b/>
        </w:rPr>
        <w:t>impuestos</w:t>
      </w:r>
      <w:r w:rsidRPr="003654B7">
        <w:t xml:space="preserve"> sobre la actividad productiva.</w:t>
      </w:r>
    </w:p>
    <w:p w14:paraId="37446545" w14:textId="1004FB46" w:rsidR="00030E31" w:rsidRPr="00DD1709" w:rsidRDefault="00030E31" w:rsidP="000C195D">
      <w:pPr>
        <w:pStyle w:val="Ttulo6"/>
        <w:numPr>
          <w:ilvl w:val="0"/>
          <w:numId w:val="68"/>
        </w:numPr>
        <w:ind w:left="0" w:hanging="284"/>
      </w:pPr>
      <w:bookmarkStart w:id="25" w:name="_Toc177739128"/>
      <w:r w:rsidRPr="00DD1709">
        <w:t>Encuesta Industrial de Productos</w:t>
      </w:r>
      <w:bookmarkEnd w:id="25"/>
    </w:p>
    <w:p w14:paraId="55EDE5BA" w14:textId="77777777" w:rsidR="00030E31" w:rsidRPr="005757F8" w:rsidRDefault="00030E31" w:rsidP="00030E31">
      <w:pPr>
        <w:pStyle w:val="Nivel2SM"/>
      </w:pPr>
      <w:r w:rsidRPr="00DD1709">
        <w:t xml:space="preserve">Destinada a proporcionar </w:t>
      </w:r>
      <w:r w:rsidRPr="000F6868">
        <w:rPr>
          <w:b/>
        </w:rPr>
        <w:t>información sobre un conjunto de productos industriales</w:t>
      </w:r>
      <w:r w:rsidRPr="00DD1709">
        <w:t xml:space="preserve"> (</w:t>
      </w:r>
      <w:r w:rsidRPr="00B55464">
        <w:rPr>
          <w:b/>
        </w:rPr>
        <w:t>alrededor de 5.000</w:t>
      </w:r>
      <w:r w:rsidRPr="00DD1709">
        <w:t>) que cubren una parte importante del sector industrial español.</w:t>
      </w:r>
    </w:p>
    <w:p w14:paraId="2292EC5C" w14:textId="62B2D718" w:rsidR="00030E31" w:rsidRPr="00DD1709" w:rsidRDefault="00030E31" w:rsidP="000C195D">
      <w:pPr>
        <w:pStyle w:val="Ttulo6"/>
        <w:numPr>
          <w:ilvl w:val="0"/>
          <w:numId w:val="68"/>
        </w:numPr>
        <w:ind w:left="0" w:hanging="284"/>
      </w:pPr>
      <w:bookmarkStart w:id="26" w:name="_Toc177739129"/>
      <w:r w:rsidRPr="00DD1709">
        <w:t xml:space="preserve">Encuesta </w:t>
      </w:r>
      <w:r>
        <w:t>A</w:t>
      </w:r>
      <w:r w:rsidRPr="00DD1709">
        <w:t xml:space="preserve">nual de </w:t>
      </w:r>
      <w:r>
        <w:t>S</w:t>
      </w:r>
      <w:r w:rsidRPr="00DD1709">
        <w:t>ervicios</w:t>
      </w:r>
      <w:bookmarkEnd w:id="26"/>
    </w:p>
    <w:p w14:paraId="79824C73" w14:textId="77777777" w:rsidR="00030E31" w:rsidRPr="004B6666" w:rsidRDefault="00030E31" w:rsidP="00030E31">
      <w:pPr>
        <w:pStyle w:val="Nivel2SM"/>
      </w:pPr>
      <w:r w:rsidRPr="00DD1709">
        <w:t xml:space="preserve">Ofrece información sobre una serie de variables </w:t>
      </w:r>
      <w:r w:rsidRPr="00992C05">
        <w:rPr>
          <w:b/>
        </w:rPr>
        <w:t>físicas</w:t>
      </w:r>
      <w:r w:rsidRPr="00DD1709">
        <w:t xml:space="preserve"> y </w:t>
      </w:r>
      <w:r w:rsidRPr="00992C05">
        <w:rPr>
          <w:b/>
        </w:rPr>
        <w:t>contables</w:t>
      </w:r>
      <w:r w:rsidRPr="00DD1709">
        <w:t xml:space="preserve">, así como información relativa a la </w:t>
      </w:r>
      <w:r w:rsidRPr="00992C05">
        <w:rPr>
          <w:b/>
        </w:rPr>
        <w:t>demografía</w:t>
      </w:r>
      <w:r w:rsidRPr="00DD1709">
        <w:t xml:space="preserve"> y al </w:t>
      </w:r>
      <w:r w:rsidRPr="00992C05">
        <w:rPr>
          <w:b/>
        </w:rPr>
        <w:t>empleo</w:t>
      </w:r>
      <w:r w:rsidRPr="00DD1709">
        <w:t xml:space="preserve"> de las </w:t>
      </w:r>
      <w:r w:rsidRPr="000F6868">
        <w:rPr>
          <w:b/>
        </w:rPr>
        <w:t xml:space="preserve">empresas </w:t>
      </w:r>
      <w:r w:rsidRPr="00DD1709">
        <w:t xml:space="preserve">cuya actividad principal sea la </w:t>
      </w:r>
      <w:r w:rsidRPr="00992C05">
        <w:rPr>
          <w:b/>
        </w:rPr>
        <w:t>prestación de servicios</w:t>
      </w:r>
      <w:r w:rsidRPr="00DD1709">
        <w:t>.</w:t>
      </w:r>
    </w:p>
    <w:p w14:paraId="629610CB" w14:textId="186DE20A" w:rsidR="00030E31" w:rsidRPr="00DD1709" w:rsidRDefault="00030E31" w:rsidP="000C195D">
      <w:pPr>
        <w:pStyle w:val="Ttulo6"/>
        <w:numPr>
          <w:ilvl w:val="0"/>
          <w:numId w:val="68"/>
        </w:numPr>
        <w:ind w:left="0" w:hanging="284"/>
      </w:pPr>
      <w:bookmarkStart w:id="27" w:name="_Toc177739130"/>
      <w:r w:rsidRPr="00DD1709">
        <w:t>Otras</w:t>
      </w:r>
      <w:bookmarkEnd w:id="27"/>
    </w:p>
    <w:p w14:paraId="320F1643" w14:textId="77777777" w:rsidR="00030E31" w:rsidRPr="00DD1709" w:rsidRDefault="00030E31" w:rsidP="00030E31">
      <w:pPr>
        <w:pStyle w:val="Nivel2SM"/>
        <w:keepNext/>
        <w:spacing w:after="0"/>
      </w:pPr>
      <w:r w:rsidRPr="00DD1709">
        <w:t>Entre estas se incluyen:</w:t>
      </w:r>
    </w:p>
    <w:p w14:paraId="07D5CC01" w14:textId="77777777" w:rsidR="00030E31" w:rsidRPr="000436DF" w:rsidRDefault="00030E31" w:rsidP="00030E31">
      <w:pPr>
        <w:pStyle w:val="Nivel3SM"/>
      </w:pPr>
      <w:r w:rsidRPr="000436DF">
        <w:rPr>
          <w:i/>
          <w:iCs/>
        </w:rPr>
        <w:t>Registro mercantil</w:t>
      </w:r>
      <w:r w:rsidRPr="000436DF">
        <w:t>: Proporciona información individualizada sobre empresas pequeñas.</w:t>
      </w:r>
    </w:p>
    <w:p w14:paraId="2FFFF6AA" w14:textId="38078139" w:rsidR="00030E31" w:rsidRPr="000436DF" w:rsidRDefault="00030E31" w:rsidP="00030E31">
      <w:pPr>
        <w:pStyle w:val="Nivel3SM"/>
      </w:pPr>
      <w:r w:rsidRPr="000436DF">
        <w:rPr>
          <w:i/>
          <w:iCs/>
        </w:rPr>
        <w:t>Central de balances del B</w:t>
      </w:r>
      <w:r w:rsidR="000C195D">
        <w:rPr>
          <w:i/>
          <w:iCs/>
        </w:rPr>
        <w:t xml:space="preserve">anco </w:t>
      </w:r>
      <w:r w:rsidRPr="000436DF">
        <w:rPr>
          <w:i/>
          <w:iCs/>
        </w:rPr>
        <w:t>d</w:t>
      </w:r>
      <w:r w:rsidR="000C195D">
        <w:rPr>
          <w:i/>
          <w:iCs/>
        </w:rPr>
        <w:t xml:space="preserve">e </w:t>
      </w:r>
      <w:r w:rsidRPr="000436DF">
        <w:rPr>
          <w:i/>
          <w:iCs/>
        </w:rPr>
        <w:t>E</w:t>
      </w:r>
      <w:r w:rsidR="000C195D">
        <w:rPr>
          <w:i/>
          <w:iCs/>
        </w:rPr>
        <w:t>spaña</w:t>
      </w:r>
      <w:r w:rsidRPr="000436DF">
        <w:t>: Proporciona información sobre la situación contable de las empresas no financieras (anual).</w:t>
      </w:r>
    </w:p>
    <w:p w14:paraId="09A6A95C" w14:textId="77777777" w:rsidR="00030E31" w:rsidRDefault="00030E31" w:rsidP="00030E31">
      <w:pPr>
        <w:pStyle w:val="Nivel3SM"/>
      </w:pPr>
      <w:r w:rsidRPr="000436DF">
        <w:rPr>
          <w:i/>
          <w:iCs/>
        </w:rPr>
        <w:t>Información sobre empresas cotizadas en el mercado de valores</w:t>
      </w:r>
      <w:r w:rsidRPr="000436DF">
        <w:t xml:space="preserve">: </w:t>
      </w:r>
      <w:r w:rsidRPr="00DD1709">
        <w:t>Elaborada con una frecuencia trimestral.</w:t>
      </w:r>
    </w:p>
    <w:p w14:paraId="59BBDA7A" w14:textId="77777777" w:rsidR="00030E31" w:rsidRPr="000436DF" w:rsidRDefault="00030E31" w:rsidP="00030E31">
      <w:pPr>
        <w:pStyle w:val="Nivel3SM"/>
      </w:pPr>
      <w:r w:rsidRPr="000436DF">
        <w:rPr>
          <w:i/>
          <w:iCs/>
        </w:rPr>
        <w:t>Encuesta de la Construcción</w:t>
      </w:r>
      <w:r w:rsidRPr="000436DF">
        <w:t>: Elaborada por el Ministerio de Fomento desde 1980, armonizada a nivel comunitario desde 1997.</w:t>
      </w:r>
    </w:p>
    <w:p w14:paraId="50FC7F26" w14:textId="59CDBA60" w:rsidR="00BC4281" w:rsidRDefault="00BC4281" w:rsidP="00BC4281">
      <w:pPr>
        <w:pStyle w:val="Ttulo2"/>
      </w:pPr>
      <w:bookmarkStart w:id="28" w:name="_Toc177739131"/>
      <w:r>
        <w:lastRenderedPageBreak/>
        <w:t>Estadísticas relacionadas con la contabilidad nacional y con la balanza de pagos</w:t>
      </w:r>
      <w:bookmarkEnd w:id="28"/>
    </w:p>
    <w:p w14:paraId="434E1113" w14:textId="3A0689DB" w:rsidR="00386339" w:rsidRDefault="00030E31" w:rsidP="00386339">
      <w:pPr>
        <w:pStyle w:val="Nivel1SM"/>
        <w:keepNext/>
        <w:spacing w:before="0" w:after="0"/>
      </w:pPr>
      <w:r>
        <w:t>H</w:t>
      </w:r>
      <w:r w:rsidRPr="002C64E6">
        <w:t xml:space="preserve">ay quien considera la </w:t>
      </w:r>
      <w:r w:rsidR="0008226F">
        <w:t>contabilidad nacional</w:t>
      </w:r>
      <w:r w:rsidRPr="002C64E6">
        <w:t xml:space="preserve"> una </w:t>
      </w:r>
      <w:r w:rsidRPr="00644E99">
        <w:rPr>
          <w:i/>
          <w:iCs/>
        </w:rPr>
        <w:t>estadística estructural</w:t>
      </w:r>
      <w:r w:rsidRPr="002C64E6">
        <w:t xml:space="preserve"> (se realiza en profundidad y con periodicidad anual)</w:t>
      </w:r>
      <w:r>
        <w:t>, si bien no son necesariamente precisas</w:t>
      </w:r>
      <w:r w:rsidR="00644E99">
        <w:t xml:space="preserve"> y su publicación no se realiza con demasiados retrasos</w:t>
      </w:r>
      <w:r>
        <w:t>, por lo que también pueden ser consideradas</w:t>
      </w:r>
      <w:r w:rsidR="00644E99">
        <w:t xml:space="preserve"> </w:t>
      </w:r>
      <w:r w:rsidR="00644E99" w:rsidRPr="00644E99">
        <w:rPr>
          <w:i/>
          <w:iCs/>
        </w:rPr>
        <w:t>estadísticas coyunturales</w:t>
      </w:r>
      <w:r>
        <w:t>.</w:t>
      </w:r>
    </w:p>
    <w:p w14:paraId="3A108998" w14:textId="5CAF11E3" w:rsidR="00030E31" w:rsidRPr="00CD5DB4" w:rsidRDefault="00386339" w:rsidP="00386339">
      <w:pPr>
        <w:pStyle w:val="Nivel2SM"/>
      </w:pPr>
      <w:r>
        <w:t>Por ello, para evitar su catalogación estudiaremos las estadísticas relacionadas con la contabilidad nacional y la balanza de pagos aparte.</w:t>
      </w:r>
    </w:p>
    <w:p w14:paraId="0ADBD585" w14:textId="77777777" w:rsidR="00BC4281" w:rsidRDefault="00BC4281" w:rsidP="00030E31">
      <w:pPr>
        <w:pStyle w:val="Ttulo3"/>
        <w:spacing w:before="0"/>
      </w:pPr>
      <w:bookmarkStart w:id="29" w:name="_Toc177739132"/>
      <w:r w:rsidRPr="00DB168B">
        <w:t>Contabilidad</w:t>
      </w:r>
      <w:r w:rsidRPr="008D6CB7">
        <w:t xml:space="preserve"> Nacional</w:t>
      </w:r>
      <w:r w:rsidRPr="007324AF">
        <w:rPr>
          <w:i w:val="0"/>
          <w:iCs w:val="0"/>
          <w:color w:val="767171" w:themeColor="background2" w:themeShade="80"/>
          <w:sz w:val="19"/>
          <w:szCs w:val="19"/>
          <w:u w:val="none"/>
        </w:rPr>
        <w:t xml:space="preserve"> [ver tema 3.A.2</w:t>
      </w:r>
      <w:r>
        <w:rPr>
          <w:i w:val="0"/>
          <w:iCs w:val="0"/>
          <w:color w:val="767171" w:themeColor="background2" w:themeShade="80"/>
          <w:sz w:val="19"/>
          <w:szCs w:val="19"/>
          <w:u w:val="none"/>
        </w:rPr>
        <w:t>6</w:t>
      </w:r>
      <w:r w:rsidRPr="007324AF">
        <w:rPr>
          <w:i w:val="0"/>
          <w:iCs w:val="0"/>
          <w:color w:val="767171" w:themeColor="background2" w:themeShade="80"/>
          <w:sz w:val="19"/>
          <w:szCs w:val="19"/>
          <w:u w:val="none"/>
        </w:rPr>
        <w:t>]</w:t>
      </w:r>
      <w:bookmarkEnd w:id="29"/>
    </w:p>
    <w:p w14:paraId="2E9AF89A" w14:textId="4415C73E" w:rsidR="00BC4281" w:rsidRPr="00CD5DB4" w:rsidRDefault="00BC4281" w:rsidP="00BC4281">
      <w:pPr>
        <w:pStyle w:val="Nivel1SM"/>
        <w:spacing w:before="0"/>
      </w:pPr>
      <w:r w:rsidRPr="00BC4A5C">
        <w:rPr>
          <w:rFonts w:cs="Times New Roman"/>
          <w:bCs/>
        </w:rPr>
        <w:t>Su</w:t>
      </w:r>
      <w:r w:rsidRPr="00BC4A5C">
        <w:rPr>
          <w:rFonts w:cs="Times New Roman"/>
        </w:rPr>
        <w:t xml:space="preserve"> principal objetivo es describir las características más relevantes de la economía española, los elementos que la componen y sus relaciones con el </w:t>
      </w:r>
      <w:r>
        <w:rPr>
          <w:rFonts w:cs="Times New Roman"/>
        </w:rPr>
        <w:t>resto del mundo</w:t>
      </w:r>
      <w:r>
        <w:t>.</w:t>
      </w:r>
    </w:p>
    <w:p w14:paraId="0A400903" w14:textId="5B9FDC8A" w:rsidR="00BC4281" w:rsidRPr="008D6CB7" w:rsidRDefault="00BC4281" w:rsidP="00BC4281">
      <w:pPr>
        <w:pStyle w:val="Nivel1SM"/>
        <w:keepNext/>
        <w:spacing w:before="0" w:after="0"/>
      </w:pPr>
      <w:r w:rsidRPr="008D6CB7">
        <w:t xml:space="preserve">Al hablar de la </w:t>
      </w:r>
      <w:r w:rsidR="00A02D93">
        <w:t>contabilidad nacional</w:t>
      </w:r>
      <w:r w:rsidRPr="008D6CB7">
        <w:t xml:space="preserve"> nos referimos a 4</w:t>
      </w:r>
      <w:r>
        <w:t> </w:t>
      </w:r>
      <w:r w:rsidRPr="008D6CB7">
        <w:t>operaciones:</w:t>
      </w:r>
    </w:p>
    <w:p w14:paraId="55A65C21" w14:textId="4C9697D0" w:rsidR="00BC4281" w:rsidRDefault="00BC4281" w:rsidP="00BC4281">
      <w:pPr>
        <w:pStyle w:val="Prrafodelista"/>
        <w:numPr>
          <w:ilvl w:val="0"/>
          <w:numId w:val="51"/>
        </w:numPr>
        <w:spacing w:after="100"/>
        <w:ind w:left="568" w:hanging="284"/>
      </w:pPr>
      <w:r w:rsidRPr="008D6CB7">
        <w:t xml:space="preserve">La </w:t>
      </w:r>
      <w:r w:rsidR="00A02D93">
        <w:t>Contabilidad Nacional</w:t>
      </w:r>
      <w:r w:rsidRPr="008D6CB7">
        <w:t xml:space="preserve"> de España</w:t>
      </w:r>
    </w:p>
    <w:p w14:paraId="6A2945FD" w14:textId="3DC937BB" w:rsidR="00BC4281" w:rsidRDefault="00BC4281" w:rsidP="00BC4281">
      <w:pPr>
        <w:pStyle w:val="Prrafodelista"/>
        <w:numPr>
          <w:ilvl w:val="0"/>
          <w:numId w:val="51"/>
        </w:numPr>
        <w:spacing w:after="100"/>
        <w:ind w:left="568" w:hanging="284"/>
      </w:pPr>
      <w:r w:rsidRPr="008D6CB7">
        <w:t xml:space="preserve">La </w:t>
      </w:r>
      <w:r w:rsidR="00A02D93">
        <w:t>Contabilidad Nacional</w:t>
      </w:r>
      <w:r w:rsidRPr="008D6CB7">
        <w:t xml:space="preserve"> Trimestral de España</w:t>
      </w:r>
    </w:p>
    <w:p w14:paraId="4C6ED93F" w14:textId="56883D6A" w:rsidR="00BC4281" w:rsidRDefault="00BC4281" w:rsidP="00BC4281">
      <w:pPr>
        <w:pStyle w:val="Prrafodelista"/>
        <w:numPr>
          <w:ilvl w:val="0"/>
          <w:numId w:val="51"/>
        </w:numPr>
        <w:spacing w:after="100"/>
        <w:ind w:left="568" w:hanging="284"/>
      </w:pPr>
      <w:r w:rsidRPr="008D6CB7">
        <w:t>La Contabilidad Regional de España</w:t>
      </w:r>
    </w:p>
    <w:p w14:paraId="539113A9" w14:textId="77777777" w:rsidR="00BC4281" w:rsidRPr="008D6CB7" w:rsidRDefault="00BC4281" w:rsidP="00BC4281">
      <w:pPr>
        <w:pStyle w:val="Prrafodelista"/>
        <w:numPr>
          <w:ilvl w:val="0"/>
          <w:numId w:val="51"/>
        </w:numPr>
        <w:spacing w:after="0"/>
        <w:ind w:left="568" w:hanging="284"/>
      </w:pPr>
      <w:r w:rsidRPr="008D6CB7">
        <w:t>La Cuenta Satélite del Turismo</w:t>
      </w:r>
    </w:p>
    <w:p w14:paraId="7FAC290F" w14:textId="1A6827F4" w:rsidR="00BC4281" w:rsidRPr="0040486B" w:rsidRDefault="00BC4281" w:rsidP="006D521F">
      <w:pPr>
        <w:pStyle w:val="Ttulo6"/>
        <w:numPr>
          <w:ilvl w:val="0"/>
          <w:numId w:val="65"/>
        </w:numPr>
        <w:ind w:left="0" w:hanging="284"/>
      </w:pPr>
      <w:bookmarkStart w:id="30" w:name="_Toc177739133"/>
      <w:r w:rsidRPr="00AC6355">
        <w:t>Contabilidad Nacional de España (CNE) base 2010</w:t>
      </w:r>
      <w:bookmarkEnd w:id="30"/>
    </w:p>
    <w:p w14:paraId="0AB02F85" w14:textId="77777777" w:rsidR="00BC4281" w:rsidRPr="00F00578" w:rsidRDefault="00BC4281" w:rsidP="00BC4281">
      <w:pPr>
        <w:pStyle w:val="Prrafodelista"/>
        <w:keepNext/>
        <w:numPr>
          <w:ilvl w:val="0"/>
          <w:numId w:val="54"/>
        </w:numPr>
        <w:spacing w:after="0"/>
        <w:ind w:left="0" w:hanging="284"/>
        <w:rPr>
          <w:b/>
          <w:bCs/>
        </w:rPr>
      </w:pPr>
      <w:r w:rsidRPr="00F00578">
        <w:rPr>
          <w:b/>
          <w:bCs/>
        </w:rPr>
        <w:t>Aspectos generales</w:t>
      </w:r>
    </w:p>
    <w:p w14:paraId="241BB997" w14:textId="77777777" w:rsidR="00BC4281" w:rsidRPr="008D6CB7" w:rsidRDefault="00BC4281" w:rsidP="00BC4281">
      <w:pPr>
        <w:pStyle w:val="Nivel2SM"/>
        <w:keepNext/>
        <w:spacing w:after="0"/>
      </w:pPr>
      <w:r w:rsidRPr="00191018">
        <w:rPr>
          <w:i/>
          <w:iCs/>
          <w:u w:val="single"/>
        </w:rPr>
        <w:t>Definición</w:t>
      </w:r>
      <w:r w:rsidRPr="008D6CB7">
        <w:t>:</w:t>
      </w:r>
    </w:p>
    <w:p w14:paraId="56AB9924" w14:textId="77777777" w:rsidR="00BC4281" w:rsidRPr="008D6CB7" w:rsidRDefault="00BC4281" w:rsidP="00BC4281">
      <w:pPr>
        <w:pStyle w:val="Nivel3SM"/>
        <w:keepNext/>
      </w:pPr>
      <w:r w:rsidRPr="008D6CB7">
        <w:t xml:space="preserve">Proporciona el marco contable para la </w:t>
      </w:r>
      <w:r w:rsidRPr="0016579A">
        <w:rPr>
          <w:b/>
        </w:rPr>
        <w:t>medición de las macromagnitudes desagregadas</w:t>
      </w:r>
      <w:r w:rsidRPr="008D6CB7">
        <w:t xml:space="preserve"> </w:t>
      </w:r>
      <w:r>
        <w:t>d</w:t>
      </w:r>
      <w:r w:rsidRPr="008D6CB7">
        <w:t xml:space="preserve">e los </w:t>
      </w:r>
      <w:r>
        <w:t>5 </w:t>
      </w:r>
      <w:r w:rsidRPr="008D6CB7">
        <w:t>sectores institucionales</w:t>
      </w:r>
      <w:r>
        <w:t xml:space="preserve"> de acuerdo con las reglas contables establecidas por el SEC 2010</w:t>
      </w:r>
      <w:r w:rsidRPr="008D6CB7">
        <w:t>.</w:t>
      </w:r>
    </w:p>
    <w:p w14:paraId="101ED844" w14:textId="77777777" w:rsidR="00BC4281" w:rsidRPr="008D6CB7" w:rsidRDefault="00BC4281" w:rsidP="00BC4281">
      <w:pPr>
        <w:pStyle w:val="Nivel4"/>
        <w:ind w:left="1474"/>
      </w:pPr>
      <w:r w:rsidRPr="008D6CB7">
        <w:t>Hogares.</w:t>
      </w:r>
    </w:p>
    <w:p w14:paraId="0A5B688C" w14:textId="77777777" w:rsidR="00BC4281" w:rsidRPr="008D6CB7" w:rsidRDefault="00BC4281" w:rsidP="00BC4281">
      <w:pPr>
        <w:pStyle w:val="Nivel4"/>
        <w:ind w:left="1474"/>
      </w:pPr>
      <w:r w:rsidRPr="008D6CB7">
        <w:t>Sociedades no financieras.</w:t>
      </w:r>
    </w:p>
    <w:p w14:paraId="6FC66D0B" w14:textId="77777777" w:rsidR="00BC4281" w:rsidRPr="008D6CB7" w:rsidRDefault="00BC4281" w:rsidP="00BC4281">
      <w:pPr>
        <w:pStyle w:val="Nivel4"/>
        <w:ind w:left="1474"/>
      </w:pPr>
      <w:r w:rsidRPr="008D6CB7">
        <w:t>Administraciones Públicas.</w:t>
      </w:r>
    </w:p>
    <w:p w14:paraId="2A5222F4" w14:textId="77777777" w:rsidR="00BC4281" w:rsidRPr="008D6CB7" w:rsidRDefault="00BC4281" w:rsidP="00BC4281">
      <w:pPr>
        <w:pStyle w:val="Nivel4"/>
        <w:ind w:left="1474"/>
      </w:pPr>
      <w:r w:rsidRPr="008D6CB7">
        <w:t>Instituciones financieras.</w:t>
      </w:r>
    </w:p>
    <w:p w14:paraId="2C13AA1B" w14:textId="77777777" w:rsidR="00BC4281" w:rsidRPr="008D6CB7" w:rsidRDefault="00BC4281" w:rsidP="00BC4281">
      <w:pPr>
        <w:pStyle w:val="Nivel4"/>
        <w:ind w:left="1474"/>
      </w:pPr>
      <w:r w:rsidRPr="008D6CB7">
        <w:t>Instituciones Sin Fines de Lucro al Servicio de los Hogares (ISFLSH), que prestan servicios no de mercado a los hogares.</w:t>
      </w:r>
    </w:p>
    <w:p w14:paraId="0971A1E2" w14:textId="0DF5A6CC" w:rsidR="00BC4281" w:rsidRPr="00805FBC" w:rsidRDefault="00BC4281" w:rsidP="00BC4281">
      <w:pPr>
        <w:pStyle w:val="Nivel2SM"/>
        <w:keepNext/>
        <w:spacing w:after="0"/>
      </w:pPr>
      <w:r w:rsidRPr="00191018">
        <w:rPr>
          <w:i/>
          <w:iCs/>
          <w:u w:val="single"/>
        </w:rPr>
        <w:t>Estructura</w:t>
      </w:r>
      <w:r>
        <w:t>:</w:t>
      </w:r>
    </w:p>
    <w:p w14:paraId="675C06EF" w14:textId="240C9E3A" w:rsidR="00BC4281" w:rsidRPr="00673AD0" w:rsidRDefault="00191018" w:rsidP="00BC4281">
      <w:pPr>
        <w:pStyle w:val="Nivel3SM"/>
        <w:keepNext/>
        <w:rPr>
          <w:i/>
          <w:iCs/>
        </w:rPr>
      </w:pPr>
      <w:r w:rsidRPr="0040486B">
        <w:rPr>
          <w:noProof/>
          <w:u w:val="single"/>
        </w:rPr>
        <w:drawing>
          <wp:anchor distT="0" distB="0" distL="114300" distR="114300" simplePos="0" relativeHeight="251659264" behindDoc="0" locked="0" layoutInCell="1" allowOverlap="1" wp14:anchorId="0D1E6E7D" wp14:editId="56E80622">
            <wp:simplePos x="0" y="0"/>
            <wp:positionH relativeFrom="column">
              <wp:posOffset>4395470</wp:posOffset>
            </wp:positionH>
            <wp:positionV relativeFrom="paragraph">
              <wp:posOffset>168275</wp:posOffset>
            </wp:positionV>
            <wp:extent cx="2432050" cy="3289935"/>
            <wp:effectExtent l="0" t="0" r="6350" b="5715"/>
            <wp:wrapSquare wrapText="bothSides"/>
            <wp:docPr id="299508605"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08605" name="Imagen 1" descr="Diagrama&#10;&#10;Descripción generada automáticamente"/>
                    <pic:cNvPicPr>
                      <a:picLocks noChangeAspect="1" noChangeArrowheads="1"/>
                    </pic:cNvPicPr>
                  </pic:nvPicPr>
                  <pic:blipFill rotWithShape="1">
                    <a:blip r:embed="rId10" cstate="hqprint">
                      <a:extLst>
                        <a:ext uri="{BEBA8EAE-BF5A-486C-A8C5-ECC9F3942E4B}">
                          <a14:imgProps xmlns:a14="http://schemas.microsoft.com/office/drawing/2010/main">
                            <a14:imgLayer r:embed="rId11">
                              <a14:imgEffect>
                                <a14:brightnessContrast bright="5000"/>
                              </a14:imgEffect>
                            </a14:imgLayer>
                          </a14:imgProps>
                        </a:ext>
                        <a:ext uri="{28A0092B-C50C-407E-A947-70E740481C1C}">
                          <a14:useLocalDpi xmlns:a14="http://schemas.microsoft.com/office/drawing/2010/main" val="0"/>
                        </a:ext>
                      </a:extLst>
                    </a:blip>
                    <a:srcRect l="215" t="4081" r="503" b="984"/>
                    <a:stretch/>
                  </pic:blipFill>
                  <pic:spPr bwMode="auto">
                    <a:xfrm>
                      <a:off x="0" y="0"/>
                      <a:ext cx="2432050" cy="328993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4281" w:rsidRPr="00673AD0">
        <w:rPr>
          <w:i/>
          <w:iCs/>
        </w:rPr>
        <w:t>Cuentas Corrientes</w:t>
      </w:r>
    </w:p>
    <w:p w14:paraId="5082E2A1" w14:textId="7DC201E0" w:rsidR="00BC4281" w:rsidRPr="008D6CB7" w:rsidRDefault="00BC4281" w:rsidP="00BC4281">
      <w:pPr>
        <w:pStyle w:val="Nivel4"/>
        <w:ind w:left="1474"/>
        <w:rPr>
          <w:u w:val="single"/>
        </w:rPr>
      </w:pPr>
      <w:r w:rsidRPr="008D6CB7">
        <w:t>Cuenta de Producción</w:t>
      </w:r>
    </w:p>
    <w:p w14:paraId="483D123B" w14:textId="77777777" w:rsidR="00BC4281" w:rsidRPr="00954034" w:rsidRDefault="00BC4281" w:rsidP="00BC4281">
      <w:pPr>
        <w:pStyle w:val="Nivel4"/>
        <w:ind w:left="1474"/>
        <w:rPr>
          <w:u w:val="single"/>
        </w:rPr>
      </w:pPr>
      <w:r w:rsidRPr="008D6CB7">
        <w:t>Cuenta de Explotación</w:t>
      </w:r>
    </w:p>
    <w:p w14:paraId="69F12FCE" w14:textId="77777777" w:rsidR="00BC4281" w:rsidRPr="00077B1B" w:rsidRDefault="00BC4281" w:rsidP="00BC4281">
      <w:pPr>
        <w:pStyle w:val="Nivel4"/>
        <w:ind w:left="1474"/>
        <w:rPr>
          <w:u w:val="single"/>
        </w:rPr>
      </w:pPr>
      <w:r>
        <w:t>Cuenta de Asignación de Renta Primaria</w:t>
      </w:r>
    </w:p>
    <w:p w14:paraId="64C3F1E3" w14:textId="77777777" w:rsidR="00BC4281" w:rsidRPr="008D6CB7" w:rsidRDefault="00BC4281" w:rsidP="00BC4281">
      <w:pPr>
        <w:pStyle w:val="Nivel4"/>
        <w:ind w:left="1474"/>
        <w:rPr>
          <w:u w:val="single"/>
        </w:rPr>
      </w:pPr>
      <w:r w:rsidRPr="008D6CB7">
        <w:t xml:space="preserve">Cuenta de Distribución </w:t>
      </w:r>
      <w:r>
        <w:t xml:space="preserve">Secundaria </w:t>
      </w:r>
      <w:r w:rsidRPr="008D6CB7">
        <w:t xml:space="preserve">de </w:t>
      </w:r>
      <w:r>
        <w:t xml:space="preserve">la </w:t>
      </w:r>
      <w:r w:rsidRPr="008D6CB7">
        <w:t>Renta</w:t>
      </w:r>
    </w:p>
    <w:p w14:paraId="4C237B90" w14:textId="77777777" w:rsidR="00BC4281" w:rsidRPr="008D6CB7" w:rsidRDefault="00BC4281" w:rsidP="00BC4281">
      <w:pPr>
        <w:pStyle w:val="Nivel4"/>
        <w:ind w:left="1474"/>
        <w:rPr>
          <w:u w:val="single"/>
        </w:rPr>
      </w:pPr>
      <w:r w:rsidRPr="008D6CB7">
        <w:t xml:space="preserve">Cuenta de Distribución de </w:t>
      </w:r>
      <w:r>
        <w:t>la R</w:t>
      </w:r>
      <w:r w:rsidRPr="008D6CB7">
        <w:t xml:space="preserve">enta </w:t>
      </w:r>
      <w:r>
        <w:t>en Especie</w:t>
      </w:r>
    </w:p>
    <w:p w14:paraId="084824F3" w14:textId="77777777" w:rsidR="00BC4281" w:rsidRPr="000D54EE" w:rsidRDefault="00BC4281" w:rsidP="00BC4281">
      <w:pPr>
        <w:pStyle w:val="Nivel4"/>
        <w:ind w:left="1474"/>
        <w:rPr>
          <w:u w:val="single"/>
        </w:rPr>
      </w:pPr>
      <w:r w:rsidRPr="008D6CB7">
        <w:t>Cuenta de U</w:t>
      </w:r>
      <w:r>
        <w:t>tilización</w:t>
      </w:r>
      <w:r w:rsidRPr="008D6CB7">
        <w:t xml:space="preserve"> de la </w:t>
      </w:r>
      <w:r>
        <w:t>R</w:t>
      </w:r>
      <w:r w:rsidRPr="008D6CB7">
        <w:t>enta</w:t>
      </w:r>
      <w:r>
        <w:t xml:space="preserve"> Disponible</w:t>
      </w:r>
    </w:p>
    <w:p w14:paraId="52BE2564" w14:textId="77777777" w:rsidR="00BC4281" w:rsidRPr="008D6CB7" w:rsidRDefault="00BC4281" w:rsidP="00227B6B">
      <w:pPr>
        <w:pStyle w:val="Nivel4"/>
        <w:keepNext/>
        <w:ind w:left="1474"/>
        <w:rPr>
          <w:u w:val="single"/>
        </w:rPr>
      </w:pPr>
      <w:r w:rsidRPr="008D6CB7">
        <w:t>Cuenta de U</w:t>
      </w:r>
      <w:r>
        <w:t>tilización</w:t>
      </w:r>
      <w:r w:rsidRPr="008D6CB7">
        <w:t xml:space="preserve"> de la </w:t>
      </w:r>
      <w:r>
        <w:t>R</w:t>
      </w:r>
      <w:r w:rsidRPr="008D6CB7">
        <w:t>enta</w:t>
      </w:r>
      <w:r>
        <w:t xml:space="preserve"> Disponible Ajustada</w:t>
      </w:r>
    </w:p>
    <w:p w14:paraId="63AD401F" w14:textId="77777777" w:rsidR="00BC4281" w:rsidRPr="008D6CB7" w:rsidRDefault="00BC4281" w:rsidP="00BC4281">
      <w:pPr>
        <w:pStyle w:val="Nivel5"/>
        <w:ind w:left="1871"/>
        <w:rPr>
          <w:u w:val="single"/>
        </w:rPr>
      </w:pPr>
      <w:r w:rsidRPr="008D6CB7">
        <w:t>Resultado: C</w:t>
      </w:r>
      <w:r>
        <w:t>ó</w:t>
      </w:r>
      <w:r w:rsidRPr="008D6CB7">
        <w:t>mo se origina la renta nacional bruta y c</w:t>
      </w:r>
      <w:r>
        <w:t>ó</w:t>
      </w:r>
      <w:r w:rsidRPr="008D6CB7">
        <w:t>mo se distribuye entre gasto de consumo final y ahorro.</w:t>
      </w:r>
    </w:p>
    <w:p w14:paraId="0881DA74" w14:textId="77777777" w:rsidR="00BC4281" w:rsidRDefault="00BC4281" w:rsidP="00BC4281">
      <w:pPr>
        <w:pStyle w:val="Nivel3SM"/>
        <w:keepNext/>
        <w:rPr>
          <w:i/>
          <w:iCs/>
        </w:rPr>
      </w:pPr>
      <w:r w:rsidRPr="00673AD0">
        <w:rPr>
          <w:i/>
          <w:iCs/>
        </w:rPr>
        <w:t>Cuentas de acumulación:</w:t>
      </w:r>
    </w:p>
    <w:p w14:paraId="78A64AE9" w14:textId="77777777" w:rsidR="00BC4281" w:rsidRPr="00673AD0" w:rsidRDefault="00BC4281" w:rsidP="00BC4281">
      <w:pPr>
        <w:pStyle w:val="Nivel4"/>
        <w:keepNext/>
        <w:ind w:left="1474"/>
        <w:rPr>
          <w:i/>
          <w:iCs/>
        </w:rPr>
      </w:pPr>
      <w:r w:rsidRPr="00673AD0">
        <w:rPr>
          <w:i/>
          <w:iCs/>
        </w:rPr>
        <w:t>Cuenta de capital</w:t>
      </w:r>
    </w:p>
    <w:p w14:paraId="1E94C462" w14:textId="49BE7BE9" w:rsidR="00BC4281" w:rsidRPr="00227B6B" w:rsidRDefault="00BC4281" w:rsidP="00BC4281">
      <w:pPr>
        <w:pStyle w:val="Nivel5"/>
        <w:ind w:left="1871"/>
        <w:rPr>
          <w:spacing w:val="-2"/>
        </w:rPr>
      </w:pPr>
      <w:r w:rsidRPr="00227B6B">
        <w:rPr>
          <w:spacing w:val="-2"/>
        </w:rPr>
        <w:t>Variaciones del Patrimonio Neto Debidas al Ahorro y a las Transf</w:t>
      </w:r>
      <w:r w:rsidR="00227B6B" w:rsidRPr="00227B6B">
        <w:rPr>
          <w:spacing w:val="-2"/>
        </w:rPr>
        <w:t>erencias</w:t>
      </w:r>
      <w:r w:rsidRPr="00227B6B">
        <w:rPr>
          <w:spacing w:val="-2"/>
        </w:rPr>
        <w:t xml:space="preserve"> de Capital (VPNDAYTK)</w:t>
      </w:r>
      <w:r w:rsidR="00227B6B" w:rsidRPr="00227B6B">
        <w:rPr>
          <w:spacing w:val="-2"/>
        </w:rPr>
        <w:t>.</w:t>
      </w:r>
    </w:p>
    <w:p w14:paraId="4C3EA144" w14:textId="77777777" w:rsidR="00BC4281" w:rsidRPr="00673AD0" w:rsidRDefault="00BC4281" w:rsidP="00002495">
      <w:pPr>
        <w:pStyle w:val="Nivel5"/>
        <w:keepNext/>
        <w:ind w:left="1871"/>
        <w:rPr>
          <w:spacing w:val="-4"/>
          <w:u w:val="single"/>
        </w:rPr>
      </w:pPr>
      <w:r w:rsidRPr="00673AD0">
        <w:rPr>
          <w:spacing w:val="-4"/>
        </w:rPr>
        <w:t>Cuenta de adquisiciones de activos no financieros</w:t>
      </w:r>
    </w:p>
    <w:p w14:paraId="19BD9A5A" w14:textId="77777777" w:rsidR="00BC4281" w:rsidRPr="00002495" w:rsidRDefault="00BC4281" w:rsidP="00002495">
      <w:pPr>
        <w:pStyle w:val="Nivel6"/>
        <w:ind w:left="2212"/>
        <w:rPr>
          <w:spacing w:val="-4"/>
          <w:u w:val="single"/>
        </w:rPr>
      </w:pPr>
      <w:r w:rsidRPr="00002495">
        <w:rPr>
          <w:spacing w:val="-4"/>
        </w:rPr>
        <w:t>Resultado: Cómo el ahorro y las transferencias de capital se distribuyen en activos no financieros.</w:t>
      </w:r>
    </w:p>
    <w:p w14:paraId="19D730B6" w14:textId="77777777" w:rsidR="00BC4281" w:rsidRPr="00673AD0" w:rsidRDefault="00BC4281" w:rsidP="00BC4281">
      <w:pPr>
        <w:pStyle w:val="Nivel4"/>
        <w:keepNext/>
        <w:ind w:left="1474"/>
      </w:pPr>
      <w:r w:rsidRPr="00673AD0">
        <w:rPr>
          <w:i/>
          <w:iCs/>
        </w:rPr>
        <w:t>Cuenta financiera</w:t>
      </w:r>
      <w:r w:rsidRPr="00673AD0">
        <w:t>:</w:t>
      </w:r>
    </w:p>
    <w:p w14:paraId="6F746A90" w14:textId="77777777" w:rsidR="00BC4281" w:rsidRPr="00227B6B" w:rsidRDefault="00BC4281" w:rsidP="00BC4281">
      <w:pPr>
        <w:pStyle w:val="Nivel5"/>
        <w:ind w:left="1871"/>
        <w:rPr>
          <w:spacing w:val="-2"/>
          <w:u w:val="single"/>
        </w:rPr>
      </w:pPr>
      <w:r w:rsidRPr="00227B6B">
        <w:rPr>
          <w:spacing w:val="-2"/>
        </w:rPr>
        <w:t>Resultado: Cómo se financia o se invierte la necesidad o capacidad de financiación.</w:t>
      </w:r>
    </w:p>
    <w:p w14:paraId="61323578" w14:textId="0A41DA8E" w:rsidR="00E16EB1" w:rsidRDefault="00E16EB1" w:rsidP="00BC4281">
      <w:pPr>
        <w:pStyle w:val="Prrafodelista"/>
        <w:keepNext/>
        <w:numPr>
          <w:ilvl w:val="0"/>
          <w:numId w:val="54"/>
        </w:numPr>
        <w:spacing w:after="0"/>
        <w:ind w:left="0" w:hanging="284"/>
        <w:rPr>
          <w:b/>
          <w:bCs/>
        </w:rPr>
      </w:pPr>
      <w:r>
        <w:rPr>
          <w:b/>
          <w:bCs/>
        </w:rPr>
        <w:lastRenderedPageBreak/>
        <w:t>Comité Técnico de las Cuentas Nacionales</w:t>
      </w:r>
    </w:p>
    <w:p w14:paraId="6428887D" w14:textId="3C31DA1D" w:rsidR="00E16EB1" w:rsidRDefault="00E16EB1" w:rsidP="00E16EB1">
      <w:pPr>
        <w:pStyle w:val="Nivel2SM"/>
        <w:keepNext/>
        <w:spacing w:after="0"/>
      </w:pPr>
      <w:r>
        <w:t xml:space="preserve">Para detallar dichas operaciones en la sucesión de cuentas, será clave disponer de información acerca de ellas. En España las </w:t>
      </w:r>
      <w:r w:rsidRPr="005936DF">
        <w:rPr>
          <w:b/>
          <w:bCs/>
        </w:rPr>
        <w:t>fuentes estadísticas</w:t>
      </w:r>
      <w:r>
        <w:t xml:space="preserve"> para la elaboración de las cuentas:</w:t>
      </w:r>
    </w:p>
    <w:p w14:paraId="02090652" w14:textId="77777777" w:rsidR="00E16EB1" w:rsidRPr="00960C5D" w:rsidRDefault="00E16EB1" w:rsidP="00E16EB1">
      <w:pPr>
        <w:pStyle w:val="Prrafodelista"/>
        <w:numPr>
          <w:ilvl w:val="0"/>
          <w:numId w:val="69"/>
        </w:numPr>
        <w:spacing w:after="0"/>
        <w:ind w:left="1134" w:hanging="113"/>
        <w:rPr>
          <w:spacing w:val="-4"/>
        </w:rPr>
      </w:pPr>
      <w:r w:rsidRPr="00960C5D">
        <w:rPr>
          <w:i/>
          <w:iCs/>
          <w:spacing w:val="-4"/>
        </w:rPr>
        <w:t>Intervención General de la Administración del Estado (IGAE)</w:t>
      </w:r>
      <w:r w:rsidRPr="00960C5D">
        <w:rPr>
          <w:rStyle w:val="Refdenotaalpie"/>
          <w:spacing w:val="-4"/>
        </w:rPr>
        <w:footnoteReference w:id="10"/>
      </w:r>
      <w:r w:rsidRPr="00960C5D">
        <w:rPr>
          <w:spacing w:val="-4"/>
        </w:rPr>
        <w:t>: Elabora las cuentas no financieras del sector AAPP. También se encarga de la delimitación del sector de las AAPP.</w:t>
      </w:r>
    </w:p>
    <w:p w14:paraId="2F442246" w14:textId="77777777" w:rsidR="00E16EB1" w:rsidRDefault="00E16EB1" w:rsidP="00E16EB1">
      <w:pPr>
        <w:pStyle w:val="Prrafodelista"/>
        <w:numPr>
          <w:ilvl w:val="0"/>
          <w:numId w:val="69"/>
        </w:numPr>
        <w:spacing w:after="0"/>
        <w:ind w:left="1134" w:hanging="113"/>
      </w:pPr>
      <w:r w:rsidRPr="00145515">
        <w:rPr>
          <w:i/>
          <w:iCs/>
        </w:rPr>
        <w:t>Instituto Nacional de Estadística</w:t>
      </w:r>
      <w:r>
        <w:t>: Se encarga de la publicación de las cuentas no financieras con periodicidad trimestral y anual. Remite la información a Eurostat.</w:t>
      </w:r>
    </w:p>
    <w:p w14:paraId="63E3B0E5" w14:textId="77777777" w:rsidR="00E16EB1" w:rsidRDefault="00E16EB1" w:rsidP="00E16EB1">
      <w:pPr>
        <w:pStyle w:val="Prrafodelista"/>
        <w:keepNext/>
        <w:numPr>
          <w:ilvl w:val="0"/>
          <w:numId w:val="69"/>
        </w:numPr>
        <w:spacing w:after="0"/>
        <w:ind w:left="1134" w:hanging="113"/>
      </w:pPr>
      <w:r w:rsidRPr="00145515">
        <w:rPr>
          <w:i/>
          <w:iCs/>
        </w:rPr>
        <w:t>Banco de España</w:t>
      </w:r>
      <w:r>
        <w:t>: Elabora las cuentas financieras y el balance.</w:t>
      </w:r>
    </w:p>
    <w:p w14:paraId="31062D64" w14:textId="77777777" w:rsidR="00E16EB1" w:rsidRPr="00E16EB1" w:rsidRDefault="00E16EB1" w:rsidP="00E16EB1">
      <w:pPr>
        <w:pStyle w:val="Nivel4"/>
        <w:ind w:left="1474"/>
      </w:pPr>
      <w:r w:rsidRPr="00E16EB1">
        <w:t xml:space="preserve">Estas 3 instituciones integran el </w:t>
      </w:r>
      <w:r w:rsidRPr="00E16EB1">
        <w:rPr>
          <w:b/>
          <w:bCs/>
        </w:rPr>
        <w:t>Comité Técnico de las Cuentas Nacionales</w:t>
      </w:r>
      <w:r w:rsidRPr="00E16EB1">
        <w:t xml:space="preserve">, donde se discuten los </w:t>
      </w:r>
      <w:r w:rsidRPr="002D3F40">
        <w:rPr>
          <w:i/>
          <w:iCs/>
        </w:rPr>
        <w:t>asuntos metodológicos</w:t>
      </w:r>
      <w:r w:rsidRPr="00E16EB1">
        <w:t xml:space="preserve"> que afectan a las cuentas de las Administraciones Públicas.</w:t>
      </w:r>
    </w:p>
    <w:p w14:paraId="60291C35" w14:textId="78795156" w:rsidR="00BC4281" w:rsidRPr="00F00578" w:rsidRDefault="00BC4281" w:rsidP="00BC4281">
      <w:pPr>
        <w:pStyle w:val="Prrafodelista"/>
        <w:keepNext/>
        <w:numPr>
          <w:ilvl w:val="0"/>
          <w:numId w:val="54"/>
        </w:numPr>
        <w:spacing w:after="0"/>
        <w:ind w:left="0" w:hanging="284"/>
        <w:rPr>
          <w:b/>
          <w:bCs/>
        </w:rPr>
      </w:pPr>
      <w:r w:rsidRPr="00F00578">
        <w:rPr>
          <w:b/>
          <w:bCs/>
        </w:rPr>
        <w:t>Novedades respecto al SEC-95</w:t>
      </w:r>
    </w:p>
    <w:p w14:paraId="242C0DE0" w14:textId="77777777" w:rsidR="00BC4281" w:rsidRPr="008D6CB7" w:rsidRDefault="00BC4281" w:rsidP="00BC4281">
      <w:pPr>
        <w:pStyle w:val="Nivel2SM"/>
        <w:keepNext/>
        <w:spacing w:after="0"/>
      </w:pPr>
      <w:r w:rsidRPr="008D6CB7">
        <w:t>Entre las principales novedades se encuentran:</w:t>
      </w:r>
    </w:p>
    <w:p w14:paraId="491CFE13" w14:textId="77777777" w:rsidR="00BC4281" w:rsidRPr="008D6CB7" w:rsidRDefault="00BC4281" w:rsidP="00BC4281">
      <w:pPr>
        <w:pStyle w:val="Nivel3SM"/>
        <w:keepNext/>
      </w:pPr>
      <w:r w:rsidRPr="008D6CB7">
        <w:t xml:space="preserve">La incorporación de </w:t>
      </w:r>
      <w:r w:rsidRPr="00E12F1E">
        <w:rPr>
          <w:i/>
          <w:iCs/>
          <w:u w:val="single"/>
        </w:rPr>
        <w:t>estimaciones de las actividades ilegales</w:t>
      </w:r>
      <w:r w:rsidRPr="008D6CB7">
        <w:t>.</w:t>
      </w:r>
    </w:p>
    <w:p w14:paraId="784C057A" w14:textId="77777777" w:rsidR="00BC4281" w:rsidRPr="008D6CB7" w:rsidRDefault="00BC4281" w:rsidP="00BC4281">
      <w:pPr>
        <w:pStyle w:val="Nivel4"/>
        <w:ind w:left="1474"/>
      </w:pPr>
      <w:r w:rsidRPr="008D6CB7">
        <w:t>Afecta a más de un millón de personas y mueve cada año 200.000</w:t>
      </w:r>
      <w:r>
        <w:t> </w:t>
      </w:r>
      <w:r w:rsidRPr="008D6CB7">
        <w:t>millones de euros (</w:t>
      </w:r>
      <w:r w:rsidRPr="00E12F1E">
        <w:rPr>
          <w:bCs/>
        </w:rPr>
        <w:t>20 % del PIB</w:t>
      </w:r>
      <w:r w:rsidRPr="008D6CB7">
        <w:t>)</w:t>
      </w:r>
      <w:r>
        <w:rPr>
          <w:rStyle w:val="Refdenotaalpie"/>
        </w:rPr>
        <w:footnoteReference w:id="11"/>
      </w:r>
      <w:r w:rsidRPr="008D6CB7">
        <w:t>.</w:t>
      </w:r>
    </w:p>
    <w:p w14:paraId="177B0CB6" w14:textId="604C45C2" w:rsidR="00BC4281" w:rsidRPr="008D6CB7" w:rsidRDefault="00BC4281" w:rsidP="00BC4281">
      <w:pPr>
        <w:pStyle w:val="Nivel3SM"/>
      </w:pPr>
      <w:r w:rsidRPr="008D6CB7">
        <w:t xml:space="preserve">Consideración de la </w:t>
      </w:r>
      <w:r w:rsidRPr="00E12F1E">
        <w:rPr>
          <w:i/>
          <w:iCs/>
          <w:u w:val="single"/>
        </w:rPr>
        <w:t xml:space="preserve">inversión en I+D como </w:t>
      </w:r>
      <w:r w:rsidR="00937452">
        <w:rPr>
          <w:i/>
          <w:iCs/>
          <w:u w:val="single"/>
        </w:rPr>
        <w:t>formación bruta de capital fijo</w:t>
      </w:r>
      <w:r w:rsidRPr="008D6CB7">
        <w:t>.</w:t>
      </w:r>
    </w:p>
    <w:p w14:paraId="66A37177" w14:textId="77777777" w:rsidR="00BC4281" w:rsidRPr="008D6CB7" w:rsidRDefault="00BC4281" w:rsidP="00BC4281">
      <w:pPr>
        <w:pStyle w:val="Nivel3SM"/>
      </w:pPr>
      <w:r w:rsidRPr="00E12F1E">
        <w:rPr>
          <w:i/>
          <w:iCs/>
          <w:u w:val="single"/>
        </w:rPr>
        <w:t>Mayor consideración de las actividades financieras</w:t>
      </w:r>
      <w:r w:rsidRPr="008D6CB7">
        <w:t>.</w:t>
      </w:r>
    </w:p>
    <w:p w14:paraId="2744C9C8" w14:textId="77777777" w:rsidR="00BC4281" w:rsidRPr="00F00578" w:rsidRDefault="00BC4281" w:rsidP="00BC4281">
      <w:pPr>
        <w:pStyle w:val="Prrafodelista"/>
        <w:keepNext/>
        <w:numPr>
          <w:ilvl w:val="0"/>
          <w:numId w:val="54"/>
        </w:numPr>
        <w:spacing w:after="0"/>
        <w:ind w:left="0" w:hanging="284"/>
        <w:rPr>
          <w:b/>
          <w:bCs/>
        </w:rPr>
      </w:pPr>
      <w:r w:rsidRPr="00F00578">
        <w:rPr>
          <w:b/>
          <w:bCs/>
        </w:rPr>
        <w:t>PIB encadenados</w:t>
      </w:r>
    </w:p>
    <w:p w14:paraId="14FDD88C" w14:textId="77777777" w:rsidR="00BC4281" w:rsidRPr="008D6CB7" w:rsidRDefault="00BC4281" w:rsidP="00BC4281">
      <w:pPr>
        <w:pStyle w:val="Nivel2SM"/>
      </w:pPr>
      <w:r w:rsidRPr="008D6CB7">
        <w:t xml:space="preserve">Uno de los principales componentes de la contabilidad nacional es el </w:t>
      </w:r>
      <w:r w:rsidRPr="002F7129">
        <w:rPr>
          <w:b/>
          <w:bCs/>
        </w:rPr>
        <w:t>Producto Interior Bruto (PIB)</w:t>
      </w:r>
      <w:r w:rsidRPr="008D6CB7">
        <w:t xml:space="preserve">, variable que mide el valor total de bienes y servicios finales producidos en una economía a lo largo de un periodo de tiempo. </w:t>
      </w:r>
      <w:r>
        <w:t xml:space="preserve">En muchas ocasiones es de gran interés calcular el </w:t>
      </w:r>
      <w:r w:rsidRPr="00EF6C12">
        <w:rPr>
          <w:b/>
          <w:bCs/>
        </w:rPr>
        <w:t>PIB en términos reales</w:t>
      </w:r>
      <w:r>
        <w:t xml:space="preserve"> para eliminar así cualquier efecto inflacionario.</w:t>
      </w:r>
    </w:p>
    <w:p w14:paraId="696932FF" w14:textId="77777777" w:rsidR="00BC4281" w:rsidRPr="008D6CB7" w:rsidRDefault="00BC4281" w:rsidP="00BC4281">
      <w:pPr>
        <w:pStyle w:val="Nivel2SM"/>
        <w:keepNext/>
        <w:spacing w:after="0"/>
      </w:pPr>
      <w:r w:rsidRPr="00EF6C12">
        <w:t xml:space="preserve">Los </w:t>
      </w:r>
      <w:r w:rsidRPr="00DC6147">
        <w:rPr>
          <w:i/>
          <w:iCs/>
          <w:u w:val="single"/>
        </w:rPr>
        <w:t>índices de ponderaciones fijas</w:t>
      </w:r>
      <w:r w:rsidRPr="008D6CB7">
        <w:t>:</w:t>
      </w:r>
    </w:p>
    <w:p w14:paraId="03D64D10" w14:textId="77777777" w:rsidR="00BC4281" w:rsidRPr="008D6CB7" w:rsidRDefault="00BC4281" w:rsidP="00BC4281">
      <w:pPr>
        <w:pStyle w:val="Nivel3SM"/>
      </w:pPr>
      <w:r w:rsidRPr="008D6CB7">
        <w:t xml:space="preserve">Hasta 1995 el crecimiento del PIB real se calculaba como un </w:t>
      </w:r>
      <w:r w:rsidRPr="00EF6C12">
        <w:rPr>
          <w:i/>
          <w:iCs/>
          <w:u w:val="single"/>
        </w:rPr>
        <w:t>índice de ponderaciones fijas</w:t>
      </w:r>
      <w:r w:rsidRPr="008D6CB7">
        <w:t>. Es decir, se establecía un determinado año base y, tomando los precios de ese año, se calculaban el PIB real de los sucesivos años.</w:t>
      </w:r>
    </w:p>
    <w:p w14:paraId="4F570BEB" w14:textId="6EC25002" w:rsidR="00BC4281" w:rsidRPr="00EF6C12" w:rsidRDefault="00BC4281" w:rsidP="00BC4281">
      <w:pPr>
        <w:pStyle w:val="Nivel3SM"/>
        <w:keepNext/>
        <w:rPr>
          <w:i/>
          <w:iCs/>
        </w:rPr>
      </w:pPr>
      <w:r w:rsidRPr="00EF6C12">
        <w:t>Por ejemplo</w:t>
      </w:r>
      <w:r w:rsidR="00EF6C12" w:rsidRPr="00EF6C12">
        <w:t>,</w:t>
      </w:r>
      <w:r w:rsidRPr="00EF6C12">
        <w:t xml:space="preserve"> tomando como base el año </w:t>
      </w:r>
      <w:r w:rsidRPr="00EF6C12">
        <w:rPr>
          <w:i/>
          <w:iCs/>
        </w:rPr>
        <w:t>t </w:t>
      </w:r>
      <w:r w:rsidR="00EF6C12">
        <w:rPr>
          <w:rFonts w:ascii="Times New Roman" w:hAnsi="Times New Roman" w:cs="Times New Roman"/>
          <w:i/>
          <w:iCs/>
        </w:rPr>
        <w:t>–</w:t>
      </w:r>
      <w:r w:rsidRPr="00EF6C12">
        <w:rPr>
          <w:i/>
          <w:iCs/>
        </w:rPr>
        <w:t> 10</w:t>
      </w:r>
      <w:r w:rsidR="00EF6C12" w:rsidRPr="00EF6C12">
        <w:t>:</w:t>
      </w:r>
    </w:p>
    <w:p w14:paraId="59711D8C" w14:textId="01FF7E75" w:rsidR="00BC4281" w:rsidRPr="008D6CB7" w:rsidRDefault="00BC4281" w:rsidP="00BC4281">
      <w:pPr>
        <w:pStyle w:val="Nivel4"/>
        <w:keepNext/>
        <w:ind w:left="1474"/>
      </w:pPr>
      <w:r w:rsidRPr="008D6CB7">
        <w:t>En dicho año</w:t>
      </w:r>
      <w:r w:rsidR="00EF6C12">
        <w:t xml:space="preserve"> </w:t>
      </w:r>
      <w:r w:rsidR="00EF6C12" w:rsidRPr="00EF6C12">
        <w:rPr>
          <w:i/>
          <w:iCs/>
        </w:rPr>
        <w:t>t </w:t>
      </w:r>
      <w:r w:rsidR="00EF6C12" w:rsidRPr="00EF6C12">
        <w:rPr>
          <w:rFonts w:ascii="Times New Roman" w:hAnsi="Times New Roman" w:cs="Times New Roman"/>
          <w:i/>
          <w:iCs/>
        </w:rPr>
        <w:t>−</w:t>
      </w:r>
      <w:r w:rsidR="00EF6C12" w:rsidRPr="00EF6C12">
        <w:rPr>
          <w:i/>
          <w:iCs/>
        </w:rPr>
        <w:t> 10</w:t>
      </w:r>
      <w:r w:rsidR="00EF6C12">
        <w:t>, el PIB nominal es</w:t>
      </w:r>
      <w:r w:rsidRPr="008D6CB7">
        <w:t>:</w:t>
      </w:r>
    </w:p>
    <w:p w14:paraId="63876244" w14:textId="77777777" w:rsidR="00BC4281" w:rsidRPr="008D6CB7" w:rsidRDefault="00BC4281" w:rsidP="00BC4281">
      <w:pPr>
        <w:ind w:left="1474"/>
        <w:jc w:val="center"/>
      </w:pPr>
      <w:r w:rsidRPr="008D6CB7">
        <w:rPr>
          <w:noProof/>
        </w:rPr>
        <w:drawing>
          <wp:inline distT="0" distB="0" distL="0" distR="0" wp14:anchorId="7641A78C" wp14:editId="73C33702">
            <wp:extent cx="1257300" cy="304800"/>
            <wp:effectExtent l="0" t="0" r="0" b="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57300" cy="304800"/>
                    </a:xfrm>
                    <a:prstGeom prst="rect">
                      <a:avLst/>
                    </a:prstGeom>
                    <a:noFill/>
                    <a:ln>
                      <a:noFill/>
                    </a:ln>
                  </pic:spPr>
                </pic:pic>
              </a:graphicData>
            </a:graphic>
          </wp:inline>
        </w:drawing>
      </w:r>
    </w:p>
    <w:p w14:paraId="5BD1C5CF" w14:textId="586F13B7" w:rsidR="00BC4281" w:rsidRPr="008D6CB7" w:rsidRDefault="00BC4281" w:rsidP="00BC4281">
      <w:pPr>
        <w:pStyle w:val="Nivel4"/>
        <w:keepNext/>
        <w:ind w:left="1474"/>
      </w:pPr>
      <w:r w:rsidRPr="008D6CB7">
        <w:t>Por tanto</w:t>
      </w:r>
      <w:r w:rsidR="00EF6C12">
        <w:t>,</w:t>
      </w:r>
      <w:r w:rsidRPr="008D6CB7">
        <w:t xml:space="preserve"> el PIB real en el año</w:t>
      </w:r>
      <w:r>
        <w:t> </w:t>
      </w:r>
      <w:r w:rsidRPr="00AC78F8">
        <w:rPr>
          <w:i/>
          <w:iCs/>
        </w:rPr>
        <w:t>t</w:t>
      </w:r>
      <w:r w:rsidRPr="008D6CB7">
        <w:t>:</w:t>
      </w:r>
    </w:p>
    <w:p w14:paraId="199E80C0" w14:textId="77777777" w:rsidR="00BC4281" w:rsidRPr="008D6CB7" w:rsidRDefault="00BC4281" w:rsidP="00BC4281">
      <w:pPr>
        <w:ind w:left="1474"/>
        <w:jc w:val="center"/>
      </w:pPr>
      <w:r w:rsidRPr="008D6CB7">
        <w:rPr>
          <w:noProof/>
        </w:rPr>
        <w:drawing>
          <wp:inline distT="0" distB="0" distL="0" distR="0" wp14:anchorId="6B94D029" wp14:editId="0538EC05">
            <wp:extent cx="868680" cy="304800"/>
            <wp:effectExtent l="0" t="0" r="762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BEBA8EAE-BF5A-486C-A8C5-ECC9F3942E4B}">
                          <a14:imgProps xmlns:a14="http://schemas.microsoft.com/office/drawing/2010/main">
                            <a14:imgLayer r:embed="rId15">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868680" cy="304800"/>
                    </a:xfrm>
                    <a:prstGeom prst="rect">
                      <a:avLst/>
                    </a:prstGeom>
                    <a:noFill/>
                    <a:ln>
                      <a:noFill/>
                    </a:ln>
                  </pic:spPr>
                </pic:pic>
              </a:graphicData>
            </a:graphic>
          </wp:inline>
        </w:drawing>
      </w:r>
    </w:p>
    <w:p w14:paraId="70BE0476" w14:textId="77777777" w:rsidR="00BC4281" w:rsidRPr="008D6CB7" w:rsidRDefault="00BC4281" w:rsidP="00BC4281">
      <w:pPr>
        <w:pStyle w:val="Nivel3SM"/>
        <w:keepNext/>
      </w:pPr>
      <w:r w:rsidRPr="00EF6C12">
        <w:rPr>
          <w:i/>
          <w:iCs/>
        </w:rPr>
        <w:t>Problemas</w:t>
      </w:r>
      <w:r w:rsidRPr="008D6CB7">
        <w:t>:</w:t>
      </w:r>
    </w:p>
    <w:p w14:paraId="44BE2458" w14:textId="59D13D7D" w:rsidR="00BC4281" w:rsidRPr="00F00578" w:rsidRDefault="00BC4281" w:rsidP="00BC4281">
      <w:pPr>
        <w:pStyle w:val="Nivel4"/>
        <w:keepNext/>
        <w:ind w:left="1474"/>
      </w:pPr>
      <w:r w:rsidRPr="00F00578">
        <w:t>La elección del periodo base importa</w:t>
      </w:r>
      <w:r w:rsidR="00DC6147">
        <w:rPr>
          <w:rStyle w:val="Refdenotaalpie"/>
        </w:rPr>
        <w:footnoteReference w:id="12"/>
      </w:r>
      <w:r>
        <w:t>.</w:t>
      </w:r>
    </w:p>
    <w:p w14:paraId="4D851903" w14:textId="77777777" w:rsidR="00BC4281" w:rsidRPr="008D6CB7" w:rsidRDefault="00BC4281" w:rsidP="00BC4281">
      <w:pPr>
        <w:pStyle w:val="Nivel5"/>
        <w:ind w:left="1871"/>
      </w:pPr>
      <w:r w:rsidRPr="008D6CB7">
        <w:t xml:space="preserve">Por ejemplo la tasa de crecimiento entre </w:t>
      </w:r>
      <w:r w:rsidRPr="00805FBC">
        <w:rPr>
          <w:i/>
          <w:iCs/>
        </w:rPr>
        <w:t>t</w:t>
      </w:r>
      <w:r w:rsidRPr="008D6CB7">
        <w:t xml:space="preserve"> y </w:t>
      </w:r>
      <w:r w:rsidRPr="00805FBC">
        <w:rPr>
          <w:i/>
          <w:iCs/>
        </w:rPr>
        <w:t>t </w:t>
      </w:r>
      <w:r w:rsidRPr="00805FBC">
        <w:rPr>
          <w:rFonts w:ascii="Times New Roman" w:hAnsi="Times New Roman" w:cs="Times New Roman"/>
          <w:i/>
          <w:iCs/>
        </w:rPr>
        <w:t>−</w:t>
      </w:r>
      <w:r w:rsidRPr="00805FBC">
        <w:rPr>
          <w:i/>
          <w:iCs/>
        </w:rPr>
        <w:t> 1</w:t>
      </w:r>
      <w:r w:rsidRPr="008D6CB7">
        <w:t xml:space="preserve"> variará en función de si cogemos como base el año</w:t>
      </w:r>
      <w:r>
        <w:t> </w:t>
      </w:r>
      <w:r w:rsidRPr="00805FBC">
        <w:rPr>
          <w:i/>
          <w:iCs/>
        </w:rPr>
        <w:t>t </w:t>
      </w:r>
      <w:r w:rsidRPr="00805FBC">
        <w:rPr>
          <w:rFonts w:ascii="Times New Roman" w:hAnsi="Times New Roman" w:cs="Times New Roman"/>
          <w:i/>
          <w:iCs/>
        </w:rPr>
        <w:t>− </w:t>
      </w:r>
      <w:r w:rsidRPr="00805FBC">
        <w:rPr>
          <w:i/>
          <w:iCs/>
        </w:rPr>
        <w:t>10</w:t>
      </w:r>
      <w:r w:rsidRPr="008D6CB7">
        <w:t xml:space="preserve"> o </w:t>
      </w:r>
      <w:r w:rsidRPr="00805FBC">
        <w:rPr>
          <w:i/>
          <w:iCs/>
        </w:rPr>
        <w:t>t </w:t>
      </w:r>
      <w:r w:rsidRPr="00805FBC">
        <w:rPr>
          <w:rFonts w:ascii="Times New Roman" w:hAnsi="Times New Roman" w:cs="Times New Roman"/>
          <w:i/>
          <w:iCs/>
        </w:rPr>
        <w:t>−</w:t>
      </w:r>
      <w:r w:rsidRPr="00805FBC">
        <w:rPr>
          <w:i/>
          <w:iCs/>
        </w:rPr>
        <w:t> 9</w:t>
      </w:r>
      <w:r w:rsidRPr="008D6CB7">
        <w:t>.</w:t>
      </w:r>
    </w:p>
    <w:p w14:paraId="061D6827" w14:textId="77777777" w:rsidR="00BC4281" w:rsidRPr="00F00578" w:rsidRDefault="00BC4281" w:rsidP="00BC4281">
      <w:pPr>
        <w:pStyle w:val="Nivel4"/>
        <w:keepNext/>
        <w:ind w:left="1474"/>
      </w:pPr>
      <w:r w:rsidRPr="00F00578">
        <w:lastRenderedPageBreak/>
        <w:t>El periodo base va perdiendo importancia</w:t>
      </w:r>
      <w:r>
        <w:t>.</w:t>
      </w:r>
    </w:p>
    <w:p w14:paraId="31314E66" w14:textId="77777777" w:rsidR="00BC4281" w:rsidRPr="008D6CB7" w:rsidRDefault="00BC4281" w:rsidP="00BC4281">
      <w:pPr>
        <w:pStyle w:val="Nivel5"/>
        <w:ind w:left="1871"/>
      </w:pPr>
      <w:r w:rsidRPr="008D6CB7">
        <w:t xml:space="preserve">Por lo </w:t>
      </w:r>
      <w:r>
        <w:t xml:space="preserve">tanto, </w:t>
      </w:r>
      <w:r w:rsidRPr="008D6CB7">
        <w:t>habrá que renovar</w:t>
      </w:r>
      <w:r>
        <w:t xml:space="preserve"> el año base</w:t>
      </w:r>
      <w:r w:rsidRPr="008D6CB7">
        <w:t xml:space="preserve">. Por tanto, cuando cada </w:t>
      </w:r>
      <w:r w:rsidRPr="00805FBC">
        <w:rPr>
          <w:i/>
          <w:iCs/>
        </w:rPr>
        <w:t>X</w:t>
      </w:r>
      <w:r>
        <w:t> </w:t>
      </w:r>
      <w:r w:rsidRPr="008D6CB7">
        <w:t>años se cambiaba el año base del índice de ponderaciones teniendo que revisar el PIB real y las tasas de crecimiento de todos los años anteriores.</w:t>
      </w:r>
    </w:p>
    <w:p w14:paraId="4B997BAA" w14:textId="77777777" w:rsidR="00BC4281" w:rsidRPr="008D6CB7" w:rsidRDefault="00BC4281" w:rsidP="00BC4281">
      <w:pPr>
        <w:pStyle w:val="Nivel3SM"/>
        <w:keepNext/>
      </w:pPr>
      <w:r w:rsidRPr="00EF6C12">
        <w:rPr>
          <w:i/>
          <w:iCs/>
        </w:rPr>
        <w:t>Solución</w:t>
      </w:r>
      <w:r w:rsidRPr="008D6CB7">
        <w:t>:</w:t>
      </w:r>
    </w:p>
    <w:p w14:paraId="5A2A1614" w14:textId="77777777" w:rsidR="00BC4281" w:rsidRPr="008D6CB7" w:rsidRDefault="00BC4281" w:rsidP="00BC4281">
      <w:pPr>
        <w:pStyle w:val="Nivel4"/>
        <w:ind w:left="1474"/>
      </w:pPr>
      <w:r w:rsidRPr="008D6CB7">
        <w:t xml:space="preserve">Calcular el PIB </w:t>
      </w:r>
      <w:r>
        <w:t xml:space="preserve">real </w:t>
      </w:r>
      <w:r w:rsidRPr="008D6CB7">
        <w:t>mediante métodos encadenados. Es decir, ir ajustando cada año el periodo base a la evolución de precios y cantidades producidas.</w:t>
      </w:r>
    </w:p>
    <w:p w14:paraId="1B9DD7A2" w14:textId="77777777" w:rsidR="00BC4281" w:rsidRPr="008D6CB7" w:rsidRDefault="00BC4281" w:rsidP="00BC4281">
      <w:pPr>
        <w:pStyle w:val="Nivel2SM"/>
        <w:keepNext/>
        <w:spacing w:after="0"/>
      </w:pPr>
      <w:r w:rsidRPr="008D6CB7">
        <w:t xml:space="preserve">Los </w:t>
      </w:r>
      <w:r w:rsidRPr="00EF6C12">
        <w:rPr>
          <w:i/>
          <w:iCs/>
          <w:u w:val="single"/>
        </w:rPr>
        <w:t>índices encadenados</w:t>
      </w:r>
      <w:r w:rsidRPr="008D6CB7">
        <w:t>.</w:t>
      </w:r>
    </w:p>
    <w:p w14:paraId="55ED8162" w14:textId="6D148404" w:rsidR="0004594D" w:rsidRDefault="0004594D" w:rsidP="0004594D">
      <w:pPr>
        <w:pStyle w:val="Nivel3SM"/>
      </w:pPr>
      <w:r>
        <w:t>A mediados de los años 90, muchos países adoptan un nuevo método (siguiendo a países como Estados Unidos, Japón o Canadá): los índices encadenados.</w:t>
      </w:r>
    </w:p>
    <w:p w14:paraId="13897E0C" w14:textId="397C01DE" w:rsidR="0004594D" w:rsidRDefault="0004594D" w:rsidP="0004594D">
      <w:pPr>
        <w:pStyle w:val="Nivel3SM"/>
        <w:keepNext/>
      </w:pPr>
      <w:r>
        <w:t>El procedimiento para calcular estos índices consta de 4 pasos:</w:t>
      </w:r>
    </w:p>
    <w:p w14:paraId="1CB545FD" w14:textId="33C14EE8" w:rsidR="0004594D" w:rsidRDefault="0004594D" w:rsidP="0004594D">
      <w:pPr>
        <w:pStyle w:val="Nivel4"/>
        <w:ind w:left="1474"/>
      </w:pPr>
      <w:r w:rsidRPr="000055FA">
        <w:rPr>
          <w:i/>
          <w:iCs/>
        </w:rPr>
        <w:t>Paso 1</w:t>
      </w:r>
      <w:r>
        <w:t>: Se calcula la tasa de crecimiento del PIB real entre el año t y el año </w:t>
      </w:r>
      <w:r w:rsidRPr="00805FBC">
        <w:rPr>
          <w:i/>
          <w:iCs/>
        </w:rPr>
        <w:t>t </w:t>
      </w:r>
      <w:r>
        <w:rPr>
          <w:rFonts w:ascii="Times New Roman" w:hAnsi="Times New Roman" w:cs="Times New Roman"/>
          <w:i/>
          <w:iCs/>
        </w:rPr>
        <w:t>+</w:t>
      </w:r>
      <w:r w:rsidRPr="00805FBC">
        <w:rPr>
          <w:rFonts w:ascii="Times New Roman" w:hAnsi="Times New Roman" w:cs="Times New Roman"/>
          <w:i/>
          <w:iCs/>
        </w:rPr>
        <w:t> </w:t>
      </w:r>
      <w:r w:rsidRPr="00805FBC">
        <w:rPr>
          <w:i/>
          <w:iCs/>
        </w:rPr>
        <w:t>1</w:t>
      </w:r>
      <w:r>
        <w:t xml:space="preserve"> de 2 formas distintas: primero, utilizando los precios del año</w:t>
      </w:r>
      <w:r w:rsidR="000055FA">
        <w:t> </w:t>
      </w:r>
      <w:r w:rsidRPr="000055FA">
        <w:rPr>
          <w:i/>
          <w:iCs/>
        </w:rPr>
        <w:t>t</w:t>
      </w:r>
      <w:r>
        <w:t>, y después los del año </w:t>
      </w:r>
      <w:r w:rsidRPr="00805FBC">
        <w:rPr>
          <w:i/>
          <w:iCs/>
        </w:rPr>
        <w:t>t </w:t>
      </w:r>
      <w:r>
        <w:rPr>
          <w:rFonts w:ascii="Times New Roman" w:hAnsi="Times New Roman" w:cs="Times New Roman"/>
          <w:i/>
          <w:iCs/>
        </w:rPr>
        <w:t>+</w:t>
      </w:r>
      <w:r w:rsidRPr="00805FBC">
        <w:rPr>
          <w:rFonts w:ascii="Times New Roman" w:hAnsi="Times New Roman" w:cs="Times New Roman"/>
          <w:i/>
          <w:iCs/>
        </w:rPr>
        <w:t> </w:t>
      </w:r>
      <w:r w:rsidRPr="00805FBC">
        <w:rPr>
          <w:i/>
          <w:iCs/>
        </w:rPr>
        <w:t>1</w:t>
      </w:r>
      <w:r>
        <w:t>.</w:t>
      </w:r>
    </w:p>
    <w:p w14:paraId="714AB427" w14:textId="4110E322" w:rsidR="0004594D" w:rsidRDefault="0004594D" w:rsidP="0004594D">
      <w:pPr>
        <w:pStyle w:val="Nivel4"/>
        <w:ind w:left="1474"/>
      </w:pPr>
      <w:r w:rsidRPr="000055FA">
        <w:rPr>
          <w:i/>
          <w:iCs/>
        </w:rPr>
        <w:t>Paso 2</w:t>
      </w:r>
      <w:r>
        <w:t>: Se calcula la tasa de crecimiento promedio de las 2 anteriores.</w:t>
      </w:r>
    </w:p>
    <w:p w14:paraId="59EE33AD" w14:textId="72D49267" w:rsidR="0004594D" w:rsidRDefault="0004594D" w:rsidP="0004594D">
      <w:pPr>
        <w:pStyle w:val="Nivel4"/>
        <w:keepNext/>
        <w:ind w:left="1474"/>
      </w:pPr>
      <w:r w:rsidRPr="000055FA">
        <w:rPr>
          <w:i/>
          <w:iCs/>
        </w:rPr>
        <w:t>Paso 3</w:t>
      </w:r>
      <w:r>
        <w:t>: Se calcula un índice del PIB enlazando (encadenando) las tasas de crecimiento promedio calculadas.</w:t>
      </w:r>
    </w:p>
    <w:p w14:paraId="22416943" w14:textId="78D17772" w:rsidR="0004594D" w:rsidRDefault="0004594D" w:rsidP="0004594D">
      <w:pPr>
        <w:pStyle w:val="Nivel5"/>
        <w:ind w:left="1871"/>
      </w:pPr>
      <w:r>
        <w:t>Es decir, se da un valor de 1 al índice en un determinado periodo </w:t>
      </w:r>
      <w:r w:rsidRPr="0004594D">
        <w:rPr>
          <w:i/>
          <w:iCs/>
        </w:rPr>
        <w:t>z</w:t>
      </w:r>
      <w:r>
        <w:t>. En el periodo</w:t>
      </w:r>
      <w:r w:rsidR="00723F4B">
        <w:t> </w:t>
      </w:r>
      <w:r w:rsidR="00723F4B">
        <w:rPr>
          <w:i/>
          <w:iCs/>
        </w:rPr>
        <w:t>z</w:t>
      </w:r>
      <w:r w:rsidR="00723F4B" w:rsidRPr="00805FBC">
        <w:rPr>
          <w:i/>
          <w:iCs/>
        </w:rPr>
        <w:t> </w:t>
      </w:r>
      <w:r w:rsidR="00723F4B">
        <w:rPr>
          <w:rFonts w:ascii="Times New Roman" w:hAnsi="Times New Roman" w:cs="Times New Roman"/>
          <w:i/>
          <w:iCs/>
        </w:rPr>
        <w:t>+</w:t>
      </w:r>
      <w:r w:rsidR="00723F4B" w:rsidRPr="00805FBC">
        <w:rPr>
          <w:rFonts w:ascii="Times New Roman" w:hAnsi="Times New Roman" w:cs="Times New Roman"/>
          <w:i/>
          <w:iCs/>
        </w:rPr>
        <w:t> </w:t>
      </w:r>
      <w:r w:rsidR="00723F4B" w:rsidRPr="00805FBC">
        <w:rPr>
          <w:i/>
          <w:iCs/>
        </w:rPr>
        <w:t>1</w:t>
      </w:r>
      <w:r>
        <w:t xml:space="preserve">, el índice tendrá un valor </w:t>
      </w:r>
      <w:r w:rsidR="00D802A4">
        <w:t>de</w:t>
      </w:r>
      <w:r>
        <w:t xml:space="preserve"> </w:t>
      </w:r>
      <w:r w:rsidR="000055FA">
        <w:rPr>
          <w:i/>
          <w:iCs/>
        </w:rPr>
        <w:t>1</w:t>
      </w:r>
      <w:r w:rsidR="000055FA">
        <w:t> × </w:t>
      </w:r>
      <w:r w:rsidR="00D802A4">
        <w:t>(</w:t>
      </w:r>
      <w:r w:rsidR="00D802A4">
        <w:rPr>
          <w:i/>
          <w:iCs/>
        </w:rPr>
        <w:t>1</w:t>
      </w:r>
      <w:r w:rsidR="00D802A4" w:rsidRPr="00805FBC">
        <w:rPr>
          <w:i/>
          <w:iCs/>
        </w:rPr>
        <w:t> </w:t>
      </w:r>
      <w:r w:rsidR="00D802A4">
        <w:rPr>
          <w:rFonts w:ascii="Times New Roman" w:hAnsi="Times New Roman" w:cs="Times New Roman"/>
          <w:i/>
          <w:iCs/>
        </w:rPr>
        <w:t>+</w:t>
      </w:r>
      <w:r w:rsidR="00D802A4" w:rsidRPr="00805FBC">
        <w:rPr>
          <w:rFonts w:ascii="Times New Roman" w:hAnsi="Times New Roman" w:cs="Times New Roman"/>
          <w:i/>
          <w:iCs/>
        </w:rPr>
        <w:t> </w:t>
      </w:r>
      <w:r w:rsidR="00D802A4">
        <w:rPr>
          <w:i/>
          <w:iCs/>
        </w:rPr>
        <w:t>g</w:t>
      </w:r>
      <w:r w:rsidR="00D802A4" w:rsidRPr="00D802A4">
        <w:t>)</w:t>
      </w:r>
      <w:r>
        <w:t xml:space="preserve">, donde </w:t>
      </w:r>
      <w:r w:rsidRPr="00F27C81">
        <w:rPr>
          <w:i/>
          <w:iCs/>
        </w:rPr>
        <w:t>g</w:t>
      </w:r>
      <w:r>
        <w:t xml:space="preserve"> es la tasa de crecimiento promedio del PIB real calculada en el segundo paso.</w:t>
      </w:r>
    </w:p>
    <w:p w14:paraId="426FFB05" w14:textId="6F8E9EBC" w:rsidR="0004594D" w:rsidRDefault="0004594D" w:rsidP="0004594D">
      <w:pPr>
        <w:pStyle w:val="Nivel4"/>
        <w:ind w:left="1474"/>
      </w:pPr>
      <w:r w:rsidRPr="000055FA">
        <w:rPr>
          <w:i/>
          <w:iCs/>
        </w:rPr>
        <w:t>Paso 4</w:t>
      </w:r>
      <w:r>
        <w:t>: Se multiplica este índice por el PIB nominal del periodo </w:t>
      </w:r>
      <w:r w:rsidRPr="0004594D">
        <w:rPr>
          <w:i/>
          <w:iCs/>
        </w:rPr>
        <w:t>z</w:t>
      </w:r>
      <w:r>
        <w:t xml:space="preserve"> para obtener el PIB real encadenado.</w:t>
      </w:r>
    </w:p>
    <w:p w14:paraId="11661794" w14:textId="4064AA09" w:rsidR="00BC4281" w:rsidRPr="008D6CB7" w:rsidRDefault="00BC4281" w:rsidP="00BC4281">
      <w:pPr>
        <w:pStyle w:val="Nivel3SM"/>
      </w:pPr>
      <w:r w:rsidRPr="008D6CB7">
        <w:t>Para nuestro ejemplo anterior, volvemos a tomar como base el periodo</w:t>
      </w:r>
      <w:r>
        <w:t> </w:t>
      </w:r>
      <w:r w:rsidRPr="00805FBC">
        <w:rPr>
          <w:i/>
          <w:iCs/>
        </w:rPr>
        <w:t>t </w:t>
      </w:r>
      <w:r w:rsidRPr="00805FBC">
        <w:rPr>
          <w:rFonts w:ascii="Times New Roman" w:hAnsi="Times New Roman" w:cs="Times New Roman"/>
          <w:i/>
          <w:iCs/>
        </w:rPr>
        <w:t>− </w:t>
      </w:r>
      <w:r w:rsidRPr="00805FBC">
        <w:rPr>
          <w:i/>
          <w:iCs/>
        </w:rPr>
        <w:t>10</w:t>
      </w:r>
      <w:r w:rsidRPr="008D6CB7">
        <w:t>. Pero esta vez el PIB real de cada año se calcula de forma encadenada. Para el año</w:t>
      </w:r>
      <w:r>
        <w:t> </w:t>
      </w:r>
      <w:r w:rsidRPr="008F5FDE">
        <w:rPr>
          <w:i/>
          <w:iCs/>
        </w:rPr>
        <w:t>t</w:t>
      </w:r>
      <w:r w:rsidRPr="008D6CB7">
        <w:t>, el PIB real vendría dado por:</w:t>
      </w:r>
    </w:p>
    <w:p w14:paraId="14A34550" w14:textId="77777777" w:rsidR="00BC4281" w:rsidRPr="008D6CB7" w:rsidRDefault="00BC4281" w:rsidP="00BC4281">
      <w:pPr>
        <w:spacing w:after="0"/>
        <w:ind w:left="963"/>
        <w:jc w:val="center"/>
      </w:pPr>
      <w:r w:rsidRPr="008D6CB7">
        <w:rPr>
          <w:noProof/>
        </w:rPr>
        <w:drawing>
          <wp:inline distT="0" distB="0" distL="0" distR="0" wp14:anchorId="4DCAB32D" wp14:editId="2822B92D">
            <wp:extent cx="4306329" cy="5040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306329" cy="504000"/>
                    </a:xfrm>
                    <a:prstGeom prst="rect">
                      <a:avLst/>
                    </a:prstGeom>
                    <a:noFill/>
                    <a:ln>
                      <a:noFill/>
                    </a:ln>
                  </pic:spPr>
                </pic:pic>
              </a:graphicData>
            </a:graphic>
          </wp:inline>
        </w:drawing>
      </w:r>
    </w:p>
    <w:p w14:paraId="56A6B88C" w14:textId="77777777" w:rsidR="00BC4281" w:rsidRPr="008D6CB7" w:rsidRDefault="00BC4281" w:rsidP="00BC4281">
      <w:pPr>
        <w:pStyle w:val="Nivel3SM"/>
        <w:keepNext/>
      </w:pPr>
      <w:r w:rsidRPr="00E16EB1">
        <w:rPr>
          <w:i/>
          <w:iCs/>
        </w:rPr>
        <w:t>Principal ventaja</w:t>
      </w:r>
      <w:r w:rsidRPr="008D6CB7">
        <w:t>:</w:t>
      </w:r>
    </w:p>
    <w:p w14:paraId="5502AC53" w14:textId="77777777" w:rsidR="00BC4281" w:rsidRPr="008D6CB7" w:rsidRDefault="00BC4281" w:rsidP="00BC4281">
      <w:pPr>
        <w:pStyle w:val="Nivel4"/>
        <w:ind w:left="1474"/>
      </w:pPr>
      <w:r>
        <w:t xml:space="preserve">El PIB real </w:t>
      </w:r>
      <w:r w:rsidRPr="008D6CB7">
        <w:t xml:space="preserve">se calcula sin utilizar un año arbitrario, por lo que no hay que “rescribir la historia” cada </w:t>
      </w:r>
      <w:r w:rsidRPr="009A65AE">
        <w:rPr>
          <w:i/>
          <w:iCs/>
        </w:rPr>
        <w:t>X</w:t>
      </w:r>
      <w:r>
        <w:t> </w:t>
      </w:r>
      <w:r w:rsidRPr="008D6CB7">
        <w:t>años (como sí ocurría con los índices de ponderaciones fijas).</w:t>
      </w:r>
    </w:p>
    <w:p w14:paraId="6299C158" w14:textId="77777777" w:rsidR="00BC4281" w:rsidRPr="008D6CB7" w:rsidRDefault="00BC4281" w:rsidP="00BC4281">
      <w:pPr>
        <w:pStyle w:val="Nivel4"/>
        <w:ind w:left="1474"/>
      </w:pPr>
      <w:r w:rsidRPr="008D6CB7">
        <w:t xml:space="preserve">Al ser la base móvil, las estimaciones del </w:t>
      </w:r>
      <w:r>
        <w:t xml:space="preserve">PIB </w:t>
      </w:r>
      <w:r w:rsidRPr="008D6CB7">
        <w:t>serán más actualizadas y precisas (sobre todo si se comparan con las que produciría un índice de base fija para periodos alejados del año base).</w:t>
      </w:r>
    </w:p>
    <w:p w14:paraId="3F9B3AF7" w14:textId="5169E824" w:rsidR="00BC4281" w:rsidRPr="008D6CB7" w:rsidRDefault="00BC4281" w:rsidP="006D521F">
      <w:pPr>
        <w:pStyle w:val="Ttulo6"/>
        <w:numPr>
          <w:ilvl w:val="0"/>
          <w:numId w:val="65"/>
        </w:numPr>
        <w:ind w:left="0" w:hanging="284"/>
      </w:pPr>
      <w:bookmarkStart w:id="31" w:name="_Toc177739134"/>
      <w:r w:rsidRPr="008D6CB7">
        <w:t>Contabilidad Nacional Trimestral de España (CNTR) base 2010</w:t>
      </w:r>
      <w:bookmarkEnd w:id="31"/>
    </w:p>
    <w:p w14:paraId="4131E215" w14:textId="77777777" w:rsidR="00BC4281" w:rsidRDefault="00BC4281" w:rsidP="00BC4281">
      <w:pPr>
        <w:pStyle w:val="Nivel2SM"/>
        <w:keepNext/>
        <w:spacing w:after="0"/>
      </w:pPr>
      <w:r w:rsidRPr="00CE7069">
        <w:t xml:space="preserve">Su </w:t>
      </w:r>
      <w:r w:rsidRPr="00954034">
        <w:rPr>
          <w:u w:val="single"/>
        </w:rPr>
        <w:t>objetivo</w:t>
      </w:r>
      <w:r w:rsidRPr="00CE7069">
        <w:t xml:space="preserve"> es</w:t>
      </w:r>
      <w:r>
        <w:t xml:space="preserve"> p</w:t>
      </w:r>
      <w:r w:rsidRPr="008D6CB7">
        <w:t xml:space="preserve">roporcionar una descripción de la actividad económica española en el </w:t>
      </w:r>
      <w:r w:rsidRPr="0016579A">
        <w:rPr>
          <w:u w:val="single"/>
        </w:rPr>
        <w:t>pasado inmediato</w:t>
      </w:r>
      <w:r w:rsidRPr="008D6CB7">
        <w:t>, mediante un cuadro macroeconómico trimestral, elaborado desde la óptica de la oferta, la demanda y las rentas</w:t>
      </w:r>
      <w:r>
        <w:rPr>
          <w:rStyle w:val="Refdenotaalpie"/>
        </w:rPr>
        <w:footnoteReference w:id="13"/>
      </w:r>
      <w:r w:rsidRPr="008D6CB7">
        <w:t>.</w:t>
      </w:r>
    </w:p>
    <w:p w14:paraId="31BB1CFE" w14:textId="77777777" w:rsidR="00BC4281" w:rsidRPr="008D6CB7" w:rsidRDefault="00BC4281" w:rsidP="00BC4281">
      <w:pPr>
        <w:pStyle w:val="Nivel3SM"/>
      </w:pPr>
      <w:r w:rsidRPr="008D6CB7">
        <w:t>Se puede decir que la CNTR es un compromiso entre el rigor y la amplitud de la CNE y la rapidez y oportunidad de los indicadores coyunturales.</w:t>
      </w:r>
    </w:p>
    <w:p w14:paraId="7253FC2F" w14:textId="0E29627B" w:rsidR="00BC4281" w:rsidRPr="00CE5AA5" w:rsidRDefault="00BC4281" w:rsidP="006D521F">
      <w:pPr>
        <w:pStyle w:val="Ttulo6"/>
        <w:numPr>
          <w:ilvl w:val="0"/>
          <w:numId w:val="65"/>
        </w:numPr>
        <w:ind w:left="0" w:hanging="284"/>
      </w:pPr>
      <w:bookmarkStart w:id="32" w:name="_Toc177739135"/>
      <w:r w:rsidRPr="008D6CB7">
        <w:t>Contabilidad Regional de España (CRE) base 2010</w:t>
      </w:r>
      <w:bookmarkEnd w:id="32"/>
    </w:p>
    <w:p w14:paraId="1AFE94F5" w14:textId="77777777" w:rsidR="00BC4281" w:rsidRPr="0016579A" w:rsidRDefault="00BC4281" w:rsidP="00BC4281">
      <w:pPr>
        <w:pStyle w:val="Nivel2SM"/>
      </w:pPr>
      <w:r w:rsidRPr="00F00578">
        <w:rPr>
          <w:bCs/>
        </w:rPr>
        <w:t>Su</w:t>
      </w:r>
      <w:r w:rsidRPr="008D6CB7">
        <w:t xml:space="preserve"> principal objetivo es</w:t>
      </w:r>
      <w:r>
        <w:t xml:space="preserve"> </w:t>
      </w:r>
      <w:r w:rsidRPr="00F00578">
        <w:t>ofrecer</w:t>
      </w:r>
      <w:r w:rsidRPr="008D6CB7">
        <w:t xml:space="preserve"> una descripción de la actividad económica regional en España (CCAA y provincias).</w:t>
      </w:r>
    </w:p>
    <w:p w14:paraId="33A5347A" w14:textId="7D116C5C" w:rsidR="00BC4281" w:rsidRPr="00CE5AA5" w:rsidRDefault="00BC4281" w:rsidP="006D521F">
      <w:pPr>
        <w:pStyle w:val="Ttulo6"/>
        <w:numPr>
          <w:ilvl w:val="0"/>
          <w:numId w:val="65"/>
        </w:numPr>
        <w:ind w:left="0" w:hanging="284"/>
      </w:pPr>
      <w:bookmarkStart w:id="33" w:name="_Toc177739136"/>
      <w:r w:rsidRPr="008D6CB7">
        <w:lastRenderedPageBreak/>
        <w:t>Cuenta satélite del Turismo</w:t>
      </w:r>
      <w:bookmarkEnd w:id="33"/>
    </w:p>
    <w:p w14:paraId="63DAEC02" w14:textId="77777777" w:rsidR="00BC4281" w:rsidRPr="008D6CB7" w:rsidRDefault="00BC4281" w:rsidP="00BC4281">
      <w:pPr>
        <w:pStyle w:val="Nivel2SM"/>
      </w:pPr>
      <w:r w:rsidRPr="008D6CB7">
        <w:t>La elaboración de la cuenta satélite del turismo sigue una metodología que ha sido respaldada por la O</w:t>
      </w:r>
      <w:r>
        <w:t xml:space="preserve">rganización </w:t>
      </w:r>
      <w:r w:rsidRPr="008D6CB7">
        <w:t>M</w:t>
      </w:r>
      <w:r>
        <w:t xml:space="preserve">undial del </w:t>
      </w:r>
      <w:r w:rsidRPr="008D6CB7">
        <w:t>T</w:t>
      </w:r>
      <w:r>
        <w:t>urismo (OMT)</w:t>
      </w:r>
      <w:r w:rsidRPr="008D6CB7">
        <w:t>, la OCDE y Eurostat.</w:t>
      </w:r>
    </w:p>
    <w:p w14:paraId="609CF1B3" w14:textId="77777777" w:rsidR="00BC4281" w:rsidRPr="008D6CB7" w:rsidRDefault="00BC4281" w:rsidP="00BC4281">
      <w:pPr>
        <w:pStyle w:val="Nivel2SM"/>
        <w:keepNext/>
        <w:spacing w:after="0"/>
      </w:pPr>
      <w:r w:rsidRPr="008D6CB7">
        <w:t xml:space="preserve">Comprende </w:t>
      </w:r>
      <w:r>
        <w:t>3 </w:t>
      </w:r>
      <w:r w:rsidRPr="008D6CB7">
        <w:t>tipos de elementos:</w:t>
      </w:r>
    </w:p>
    <w:p w14:paraId="7FF14C38" w14:textId="77777777" w:rsidR="00BC4281" w:rsidRPr="001B7065" w:rsidRDefault="00BC4281" w:rsidP="00BC4281">
      <w:pPr>
        <w:pStyle w:val="Nivel3SM"/>
      </w:pPr>
      <w:r w:rsidRPr="001B7065">
        <w:rPr>
          <w:i/>
          <w:iCs/>
        </w:rPr>
        <w:t>Tablas de oferta</w:t>
      </w:r>
      <w:r>
        <w:t xml:space="preserve">: </w:t>
      </w:r>
      <w:r w:rsidRPr="008D6CB7">
        <w:t>En las que se trata de caracterizar l</w:t>
      </w:r>
      <w:r w:rsidRPr="001B7065">
        <w:t xml:space="preserve">a </w:t>
      </w:r>
      <w:r w:rsidRPr="001B7065">
        <w:rPr>
          <w:highlight w:val="yellow"/>
        </w:rPr>
        <w:t>estructura de producción</w:t>
      </w:r>
      <w:r w:rsidRPr="001B7065">
        <w:t xml:space="preserve"> y </w:t>
      </w:r>
      <w:r w:rsidRPr="001B7065">
        <w:rPr>
          <w:highlight w:val="yellow"/>
        </w:rPr>
        <w:t>costes de las empresas turísticas</w:t>
      </w:r>
      <w:r w:rsidRPr="001B7065">
        <w:t>.</w:t>
      </w:r>
    </w:p>
    <w:p w14:paraId="67060BA2" w14:textId="77777777" w:rsidR="00BC4281" w:rsidRPr="001B7065" w:rsidRDefault="00BC4281" w:rsidP="00BC4281">
      <w:pPr>
        <w:pStyle w:val="Nivel3SM"/>
      </w:pPr>
      <w:r w:rsidRPr="001B7065">
        <w:rPr>
          <w:i/>
          <w:iCs/>
        </w:rPr>
        <w:t>Tablas de demanda</w:t>
      </w:r>
      <w:r w:rsidRPr="001B7065">
        <w:t xml:space="preserve">: En las que se trata de caracterizar </w:t>
      </w:r>
      <w:r w:rsidRPr="001B7065">
        <w:rPr>
          <w:highlight w:val="yellow"/>
        </w:rPr>
        <w:t>la demanda</w:t>
      </w:r>
      <w:r w:rsidRPr="001B7065">
        <w:t xml:space="preserve">, desde el punto de vista </w:t>
      </w:r>
      <w:r w:rsidRPr="001B7065">
        <w:rPr>
          <w:highlight w:val="yellow"/>
        </w:rPr>
        <w:t>económico</w:t>
      </w:r>
      <w:r w:rsidRPr="001B7065">
        <w:t xml:space="preserve">, los diferentes </w:t>
      </w:r>
      <w:r w:rsidRPr="001B7065">
        <w:rPr>
          <w:highlight w:val="yellow"/>
        </w:rPr>
        <w:t>tipos de turistas, el turismo nacional frente al internacional, el tipo de bienes y servicios demandados</w:t>
      </w:r>
      <w:r w:rsidRPr="001B7065">
        <w:t>…</w:t>
      </w:r>
    </w:p>
    <w:p w14:paraId="6DF93977" w14:textId="77777777" w:rsidR="00BC4281" w:rsidRDefault="00BC4281" w:rsidP="00BC4281">
      <w:pPr>
        <w:pStyle w:val="Nivel3SM"/>
      </w:pPr>
      <w:r w:rsidRPr="001B7065">
        <w:rPr>
          <w:i/>
          <w:iCs/>
        </w:rPr>
        <w:t>Tablas que interrelacionan la oferta con la demanda</w:t>
      </w:r>
      <w:r w:rsidRPr="001B7065">
        <w:t>:</w:t>
      </w:r>
      <w:r>
        <w:t xml:space="preserve"> </w:t>
      </w:r>
      <w:r w:rsidRPr="008D6CB7">
        <w:t xml:space="preserve">Que permiten obtener unas mediciones integradas de la </w:t>
      </w:r>
      <w:r w:rsidRPr="001B7065">
        <w:rPr>
          <w:highlight w:val="yellow"/>
        </w:rPr>
        <w:t>aportación del turismo a la economía</w:t>
      </w:r>
      <w:r w:rsidRPr="008D6CB7">
        <w:t xml:space="preserve"> a través de variables macro como el PIB, la producción o el empleo.</w:t>
      </w:r>
    </w:p>
    <w:p w14:paraId="0B9BF210" w14:textId="473109F8" w:rsidR="006D521F" w:rsidRDefault="006D521F" w:rsidP="006D521F">
      <w:pPr>
        <w:pStyle w:val="Ttulo6"/>
      </w:pPr>
      <w:bookmarkStart w:id="34" w:name="_Toc177739137"/>
      <w:r>
        <w:t>+ Población y empleo</w:t>
      </w:r>
      <w:bookmarkEnd w:id="34"/>
    </w:p>
    <w:p w14:paraId="372F7ECD" w14:textId="3117A73D" w:rsidR="006D521F" w:rsidRPr="006D521F" w:rsidRDefault="006D521F" w:rsidP="006D521F">
      <w:pPr>
        <w:pStyle w:val="Nivel2SM"/>
      </w:pPr>
      <w:r w:rsidRPr="006D521F">
        <w:rPr>
          <w:spacing w:val="-4"/>
        </w:rPr>
        <w:t xml:space="preserve">El capítulo 11 del SEC-2010 describe los marcos y medidas para las </w:t>
      </w:r>
      <w:r w:rsidRPr="006D521F">
        <w:rPr>
          <w:i/>
          <w:iCs/>
          <w:spacing w:val="-4"/>
        </w:rPr>
        <w:t>estadísticas de población y empleo</w:t>
      </w:r>
      <w:r w:rsidRPr="006D521F">
        <w:rPr>
          <w:spacing w:val="-4"/>
        </w:rPr>
        <w:t>.</w:t>
      </w:r>
      <w:r>
        <w:t xml:space="preserve"> Asevera que deben ser coherentes para permitir comparaciones útiles. Por ejemplo, comparaciones de PIB per cápita.</w:t>
      </w:r>
    </w:p>
    <w:p w14:paraId="59C4A49A" w14:textId="77777777" w:rsidR="00BC4281" w:rsidRPr="00CE5AA5" w:rsidRDefault="00BC4281" w:rsidP="00BC4281">
      <w:pPr>
        <w:pStyle w:val="Ttulo3"/>
        <w:rPr>
          <w:u w:val="none"/>
        </w:rPr>
      </w:pPr>
      <w:bookmarkStart w:id="35" w:name="_Toc177739138"/>
      <w:r w:rsidRPr="008D6CB7">
        <w:t>Tablas input-output (TIO)</w:t>
      </w:r>
      <w:r w:rsidRPr="007324AF">
        <w:rPr>
          <w:i w:val="0"/>
          <w:iCs w:val="0"/>
          <w:color w:val="767171" w:themeColor="background2" w:themeShade="80"/>
          <w:sz w:val="19"/>
          <w:szCs w:val="19"/>
          <w:u w:val="none"/>
        </w:rPr>
        <w:t xml:space="preserve"> [ver tema 3.A.27]</w:t>
      </w:r>
      <w:bookmarkEnd w:id="35"/>
    </w:p>
    <w:p w14:paraId="67EB9111" w14:textId="77777777" w:rsidR="00BC4281" w:rsidRPr="008D6CB7" w:rsidRDefault="00BC4281" w:rsidP="00BC4281">
      <w:pPr>
        <w:pStyle w:val="Ttulo6"/>
        <w:spacing w:before="0"/>
      </w:pPr>
      <w:bookmarkStart w:id="36" w:name="_Toc177739139"/>
      <w:r w:rsidRPr="008D6CB7">
        <w:t>Definición</w:t>
      </w:r>
      <w:bookmarkEnd w:id="36"/>
    </w:p>
    <w:p w14:paraId="5329334F" w14:textId="77777777" w:rsidR="00BC4281" w:rsidRPr="008D6CB7" w:rsidRDefault="00BC4281" w:rsidP="00BC4281">
      <w:pPr>
        <w:pStyle w:val="Nivel2SM"/>
        <w:keepNext/>
        <w:spacing w:after="0"/>
      </w:pPr>
      <w:r w:rsidRPr="008D6CB7">
        <w:t>Las TIO busca</w:t>
      </w:r>
      <w:r>
        <w:t>n</w:t>
      </w:r>
      <w:r w:rsidRPr="008D6CB7">
        <w:t xml:space="preserve"> reflejar las </w:t>
      </w:r>
      <w:r w:rsidRPr="001E23AB">
        <w:rPr>
          <w:u w:val="single"/>
        </w:rPr>
        <w:t>interdependencias económicas</w:t>
      </w:r>
      <w:r w:rsidRPr="008D6CB7">
        <w:t xml:space="preserve"> dentro de una economía entre: </w:t>
      </w:r>
    </w:p>
    <w:p w14:paraId="6EA23A62" w14:textId="77777777" w:rsidR="00BC4281" w:rsidRPr="008D6CB7" w:rsidRDefault="00BC4281" w:rsidP="00BC4281">
      <w:pPr>
        <w:pStyle w:val="Nivel3SM"/>
      </w:pPr>
      <w:r w:rsidRPr="008D6CB7">
        <w:t>Las propias ramas industriales.</w:t>
      </w:r>
    </w:p>
    <w:p w14:paraId="60A6B5E3" w14:textId="77777777" w:rsidR="00BC4281" w:rsidRPr="008D6CB7" w:rsidRDefault="00BC4281" w:rsidP="00BC4281">
      <w:pPr>
        <w:pStyle w:val="Nivel3SM"/>
      </w:pPr>
      <w:r w:rsidRPr="008D6CB7">
        <w:t>Entre las ramas industriales y el uso final de los bienes y servicios.</w:t>
      </w:r>
    </w:p>
    <w:p w14:paraId="769CC211" w14:textId="77777777" w:rsidR="00BC4281" w:rsidRPr="004B6666" w:rsidRDefault="00BC4281" w:rsidP="00BC4281">
      <w:pPr>
        <w:pStyle w:val="Nivel3SM"/>
      </w:pPr>
      <w:r w:rsidRPr="008D6CB7">
        <w:t>Entre las ramas industriales y los factores productivos utilizados.</w:t>
      </w:r>
    </w:p>
    <w:p w14:paraId="76CE08FF" w14:textId="77777777" w:rsidR="00BC4281" w:rsidRPr="00CE5AA5" w:rsidRDefault="00BC4281" w:rsidP="00BC4281">
      <w:pPr>
        <w:pStyle w:val="Ttulo6"/>
      </w:pPr>
      <w:bookmarkStart w:id="37" w:name="_Toc177739140"/>
      <w:r w:rsidRPr="008D6CB7">
        <w:t>Principales TIO del SEC-</w:t>
      </w:r>
      <w:r>
        <w:t>20</w:t>
      </w:r>
      <w:r w:rsidRPr="008D6CB7">
        <w:t>10</w:t>
      </w:r>
      <w:bookmarkEnd w:id="37"/>
    </w:p>
    <w:p w14:paraId="593C2488" w14:textId="77777777" w:rsidR="00BC4281" w:rsidRPr="007324AF" w:rsidRDefault="00BC4281" w:rsidP="00BC4281">
      <w:pPr>
        <w:pStyle w:val="Nivel2SM"/>
        <w:keepNext/>
        <w:spacing w:after="0"/>
        <w:rPr>
          <w:spacing w:val="-2"/>
        </w:rPr>
      </w:pPr>
      <w:r w:rsidRPr="007324AF">
        <w:rPr>
          <w:i/>
          <w:iCs/>
          <w:spacing w:val="-2"/>
          <w:u w:val="single"/>
        </w:rPr>
        <w:t>Tabla de Origen</w:t>
      </w:r>
      <w:r w:rsidRPr="007324AF">
        <w:rPr>
          <w:spacing w:val="-2"/>
        </w:rPr>
        <w:t xml:space="preserve">: Muestra la </w:t>
      </w:r>
      <w:r w:rsidRPr="007324AF">
        <w:rPr>
          <w:bCs/>
          <w:spacing w:val="-2"/>
        </w:rPr>
        <w:t>oferta de bienes y servicios por productos de cada rama de actividad</w:t>
      </w:r>
      <w:r w:rsidRPr="007324AF">
        <w:rPr>
          <w:spacing w:val="-2"/>
        </w:rPr>
        <w:t>.</w:t>
      </w:r>
    </w:p>
    <w:tbl>
      <w:tblPr>
        <w:tblStyle w:val="Tablaconcuadrcula"/>
        <w:tblW w:w="9776" w:type="dxa"/>
        <w:tblLayout w:type="fixed"/>
        <w:tblCellMar>
          <w:left w:w="0" w:type="dxa"/>
          <w:right w:w="0" w:type="dxa"/>
        </w:tblCellMar>
        <w:tblLook w:val="04A0" w:firstRow="1" w:lastRow="0" w:firstColumn="1" w:lastColumn="0" w:noHBand="0" w:noVBand="1"/>
      </w:tblPr>
      <w:tblGrid>
        <w:gridCol w:w="279"/>
        <w:gridCol w:w="416"/>
        <w:gridCol w:w="414"/>
        <w:gridCol w:w="414"/>
        <w:gridCol w:w="414"/>
        <w:gridCol w:w="414"/>
        <w:gridCol w:w="416"/>
        <w:gridCol w:w="414"/>
        <w:gridCol w:w="1204"/>
        <w:gridCol w:w="1417"/>
        <w:gridCol w:w="1276"/>
        <w:gridCol w:w="1281"/>
        <w:gridCol w:w="1417"/>
      </w:tblGrid>
      <w:tr w:rsidR="00BC4281" w14:paraId="64868883" w14:textId="77777777" w:rsidTr="0063685B">
        <w:trPr>
          <w:trHeight w:val="57"/>
        </w:trPr>
        <w:tc>
          <w:tcPr>
            <w:tcW w:w="695" w:type="dxa"/>
            <w:gridSpan w:val="2"/>
            <w:vMerge w:val="restart"/>
            <w:vAlign w:val="center"/>
          </w:tcPr>
          <w:p w14:paraId="73526605" w14:textId="77777777" w:rsidR="00BC4281" w:rsidRPr="00B16F10" w:rsidRDefault="00BC4281" w:rsidP="0063685B">
            <w:pPr>
              <w:keepNext/>
              <w:spacing w:after="0"/>
              <w:jc w:val="center"/>
              <w:rPr>
                <w:lang w:val="es-ES"/>
              </w:rPr>
            </w:pPr>
          </w:p>
        </w:tc>
        <w:tc>
          <w:tcPr>
            <w:tcW w:w="2486" w:type="dxa"/>
            <w:gridSpan w:val="6"/>
            <w:vAlign w:val="center"/>
          </w:tcPr>
          <w:p w14:paraId="3B20CE3E" w14:textId="77777777" w:rsidR="00BC4281" w:rsidRDefault="00BC4281" w:rsidP="0063685B">
            <w:pPr>
              <w:keepNext/>
              <w:spacing w:after="0"/>
              <w:jc w:val="center"/>
            </w:pPr>
            <w:r>
              <w:t xml:space="preserve">Ramas de </w:t>
            </w:r>
            <w:proofErr w:type="spellStart"/>
            <w:r>
              <w:t>actividad</w:t>
            </w:r>
            <w:proofErr w:type="spellEnd"/>
          </w:p>
        </w:tc>
        <w:tc>
          <w:tcPr>
            <w:tcW w:w="1204" w:type="dxa"/>
            <w:vMerge w:val="restart"/>
            <w:vAlign w:val="center"/>
          </w:tcPr>
          <w:p w14:paraId="7495073F" w14:textId="77777777" w:rsidR="00BC4281" w:rsidRPr="005F5A7A" w:rsidRDefault="00BC4281" w:rsidP="0063685B">
            <w:pPr>
              <w:keepNext/>
              <w:spacing w:after="0"/>
              <w:jc w:val="center"/>
              <w:rPr>
                <w:sz w:val="16"/>
                <w:szCs w:val="18"/>
              </w:rPr>
            </w:pPr>
            <w:proofErr w:type="spellStart"/>
            <w:r w:rsidRPr="005F5A7A">
              <w:rPr>
                <w:sz w:val="16"/>
                <w:szCs w:val="18"/>
              </w:rPr>
              <w:t>Importaciones</w:t>
            </w:r>
            <w:proofErr w:type="spellEnd"/>
          </w:p>
        </w:tc>
        <w:tc>
          <w:tcPr>
            <w:tcW w:w="1417" w:type="dxa"/>
            <w:vMerge w:val="restart"/>
            <w:vAlign w:val="center"/>
          </w:tcPr>
          <w:p w14:paraId="1443FD37" w14:textId="77777777" w:rsidR="00BC4281" w:rsidRDefault="00BC4281" w:rsidP="0063685B">
            <w:pPr>
              <w:keepNext/>
              <w:spacing w:after="0"/>
              <w:jc w:val="center"/>
              <w:rPr>
                <w:sz w:val="16"/>
                <w:szCs w:val="18"/>
              </w:rPr>
            </w:pPr>
            <w:proofErr w:type="spellStart"/>
            <w:r w:rsidRPr="005F5A7A">
              <w:rPr>
                <w:sz w:val="16"/>
                <w:szCs w:val="18"/>
              </w:rPr>
              <w:t>Oferta</w:t>
            </w:r>
            <w:proofErr w:type="spellEnd"/>
            <w:r w:rsidRPr="005F5A7A">
              <w:rPr>
                <w:sz w:val="16"/>
                <w:szCs w:val="18"/>
              </w:rPr>
              <w:t xml:space="preserve"> Total</w:t>
            </w:r>
          </w:p>
          <w:p w14:paraId="0F55EE3E" w14:textId="77777777" w:rsidR="00BC4281" w:rsidRPr="005F5A7A" w:rsidRDefault="00BC4281" w:rsidP="0063685B">
            <w:pPr>
              <w:keepNext/>
              <w:spacing w:after="0"/>
              <w:jc w:val="center"/>
              <w:rPr>
                <w:sz w:val="16"/>
                <w:szCs w:val="18"/>
              </w:rPr>
            </w:pPr>
            <w:proofErr w:type="spellStart"/>
            <w:r w:rsidRPr="005F5A7A">
              <w:rPr>
                <w:sz w:val="16"/>
                <w:szCs w:val="18"/>
              </w:rPr>
              <w:t>Precios</w:t>
            </w:r>
            <w:proofErr w:type="spellEnd"/>
            <w:r w:rsidRPr="005F5A7A">
              <w:rPr>
                <w:sz w:val="16"/>
                <w:szCs w:val="18"/>
              </w:rPr>
              <w:t xml:space="preserve"> </w:t>
            </w:r>
            <w:proofErr w:type="spellStart"/>
            <w:r w:rsidRPr="005F5A7A">
              <w:rPr>
                <w:sz w:val="16"/>
                <w:szCs w:val="18"/>
              </w:rPr>
              <w:t>básicos</w:t>
            </w:r>
            <w:proofErr w:type="spellEnd"/>
          </w:p>
        </w:tc>
        <w:tc>
          <w:tcPr>
            <w:tcW w:w="1276" w:type="dxa"/>
            <w:vMerge w:val="restart"/>
            <w:vAlign w:val="center"/>
          </w:tcPr>
          <w:p w14:paraId="6EA16A08" w14:textId="77777777" w:rsidR="00BC4281" w:rsidRPr="005F5A7A" w:rsidRDefault="00BC4281" w:rsidP="0063685B">
            <w:pPr>
              <w:keepNext/>
              <w:spacing w:after="0"/>
              <w:jc w:val="center"/>
              <w:rPr>
                <w:sz w:val="16"/>
                <w:szCs w:val="18"/>
              </w:rPr>
            </w:pPr>
            <w:proofErr w:type="spellStart"/>
            <w:r w:rsidRPr="005F5A7A">
              <w:rPr>
                <w:sz w:val="16"/>
                <w:szCs w:val="18"/>
              </w:rPr>
              <w:t>Márgenes</w:t>
            </w:r>
            <w:proofErr w:type="spellEnd"/>
          </w:p>
        </w:tc>
        <w:tc>
          <w:tcPr>
            <w:tcW w:w="1281" w:type="dxa"/>
            <w:vMerge w:val="restart"/>
            <w:vAlign w:val="center"/>
          </w:tcPr>
          <w:p w14:paraId="416DA6DF" w14:textId="77777777" w:rsidR="00BC4281" w:rsidRPr="00F01ADE" w:rsidRDefault="00BC4281" w:rsidP="0063685B">
            <w:pPr>
              <w:keepNext/>
              <w:spacing w:after="0"/>
              <w:jc w:val="center"/>
              <w:rPr>
                <w:sz w:val="16"/>
                <w:szCs w:val="18"/>
                <w:lang w:val="es-ES"/>
              </w:rPr>
            </w:pPr>
            <w:r w:rsidRPr="00F01ADE">
              <w:rPr>
                <w:sz w:val="16"/>
                <w:szCs w:val="18"/>
                <w:lang w:val="es-ES"/>
              </w:rPr>
              <w:t>Impuestos netos sobre los productos</w:t>
            </w:r>
          </w:p>
        </w:tc>
        <w:tc>
          <w:tcPr>
            <w:tcW w:w="1417" w:type="dxa"/>
            <w:vMerge w:val="restart"/>
            <w:vAlign w:val="center"/>
          </w:tcPr>
          <w:p w14:paraId="26A79D7E" w14:textId="77777777" w:rsidR="00BC4281" w:rsidRDefault="00BC4281" w:rsidP="0063685B">
            <w:pPr>
              <w:keepNext/>
              <w:spacing w:after="0"/>
              <w:jc w:val="center"/>
              <w:rPr>
                <w:sz w:val="16"/>
                <w:szCs w:val="18"/>
              </w:rPr>
            </w:pPr>
            <w:proofErr w:type="spellStart"/>
            <w:r w:rsidRPr="005F5A7A">
              <w:rPr>
                <w:sz w:val="16"/>
                <w:szCs w:val="18"/>
              </w:rPr>
              <w:t>Oferta</w:t>
            </w:r>
            <w:proofErr w:type="spellEnd"/>
          </w:p>
          <w:p w14:paraId="0751B482" w14:textId="77777777" w:rsidR="00BC4281" w:rsidRPr="005F5A7A" w:rsidRDefault="00BC4281" w:rsidP="0063685B">
            <w:pPr>
              <w:keepNext/>
              <w:spacing w:after="0"/>
              <w:jc w:val="center"/>
              <w:rPr>
                <w:sz w:val="16"/>
                <w:szCs w:val="18"/>
              </w:rPr>
            </w:pPr>
            <w:proofErr w:type="spellStart"/>
            <w:r w:rsidRPr="005F5A7A">
              <w:rPr>
                <w:sz w:val="16"/>
                <w:szCs w:val="18"/>
              </w:rPr>
              <w:t>Precios</w:t>
            </w:r>
            <w:proofErr w:type="spellEnd"/>
            <w:r w:rsidRPr="005F5A7A">
              <w:rPr>
                <w:sz w:val="16"/>
                <w:szCs w:val="18"/>
              </w:rPr>
              <w:t xml:space="preserve"> </w:t>
            </w:r>
            <w:proofErr w:type="spellStart"/>
            <w:r w:rsidRPr="005F5A7A">
              <w:rPr>
                <w:sz w:val="16"/>
                <w:szCs w:val="18"/>
              </w:rPr>
              <w:t>adquisic</w:t>
            </w:r>
            <w:r>
              <w:rPr>
                <w:sz w:val="16"/>
                <w:szCs w:val="18"/>
              </w:rPr>
              <w:t>ión</w:t>
            </w:r>
            <w:proofErr w:type="spellEnd"/>
          </w:p>
        </w:tc>
      </w:tr>
      <w:tr w:rsidR="00BC4281" w14:paraId="488B564A" w14:textId="77777777" w:rsidTr="0063685B">
        <w:trPr>
          <w:trHeight w:val="57"/>
        </w:trPr>
        <w:tc>
          <w:tcPr>
            <w:tcW w:w="695" w:type="dxa"/>
            <w:gridSpan w:val="2"/>
            <w:vMerge/>
          </w:tcPr>
          <w:p w14:paraId="182FE6A7" w14:textId="77777777" w:rsidR="00BC4281" w:rsidRDefault="00BC4281" w:rsidP="0063685B">
            <w:pPr>
              <w:keepNext/>
              <w:spacing w:after="0"/>
              <w:jc w:val="center"/>
            </w:pPr>
          </w:p>
        </w:tc>
        <w:tc>
          <w:tcPr>
            <w:tcW w:w="414" w:type="dxa"/>
            <w:vAlign w:val="center"/>
          </w:tcPr>
          <w:p w14:paraId="00B05F13" w14:textId="77777777" w:rsidR="00BC4281" w:rsidRDefault="00BC4281" w:rsidP="0063685B">
            <w:pPr>
              <w:keepNext/>
              <w:spacing w:after="0"/>
              <w:jc w:val="center"/>
            </w:pPr>
            <w:r>
              <w:t>1</w:t>
            </w:r>
          </w:p>
        </w:tc>
        <w:tc>
          <w:tcPr>
            <w:tcW w:w="414" w:type="dxa"/>
            <w:vAlign w:val="center"/>
          </w:tcPr>
          <w:p w14:paraId="093C1D8B" w14:textId="77777777" w:rsidR="00BC4281" w:rsidRDefault="00BC4281" w:rsidP="0063685B">
            <w:pPr>
              <w:keepNext/>
              <w:spacing w:after="0"/>
              <w:jc w:val="center"/>
            </w:pPr>
            <w:r>
              <w:t>2</w:t>
            </w:r>
          </w:p>
        </w:tc>
        <w:tc>
          <w:tcPr>
            <w:tcW w:w="414" w:type="dxa"/>
            <w:vAlign w:val="center"/>
          </w:tcPr>
          <w:p w14:paraId="62461578" w14:textId="77777777" w:rsidR="00BC4281" w:rsidRDefault="00BC4281" w:rsidP="0063685B">
            <w:pPr>
              <w:keepNext/>
              <w:spacing w:after="0"/>
              <w:jc w:val="center"/>
            </w:pPr>
            <w:r>
              <w:t>3</w:t>
            </w:r>
          </w:p>
        </w:tc>
        <w:tc>
          <w:tcPr>
            <w:tcW w:w="414" w:type="dxa"/>
            <w:vAlign w:val="center"/>
          </w:tcPr>
          <w:p w14:paraId="35B275DF" w14:textId="77777777" w:rsidR="00BC4281" w:rsidRDefault="00BC4281" w:rsidP="0063685B">
            <w:pPr>
              <w:keepNext/>
              <w:spacing w:after="0"/>
              <w:jc w:val="center"/>
            </w:pPr>
            <w:r>
              <w:t>4</w:t>
            </w:r>
          </w:p>
        </w:tc>
        <w:tc>
          <w:tcPr>
            <w:tcW w:w="416" w:type="dxa"/>
            <w:vAlign w:val="center"/>
          </w:tcPr>
          <w:p w14:paraId="1A60C2EE" w14:textId="77777777" w:rsidR="00BC4281" w:rsidRDefault="00BC4281" w:rsidP="0063685B">
            <w:pPr>
              <w:keepNext/>
              <w:spacing w:after="0"/>
              <w:jc w:val="center"/>
            </w:pPr>
            <w:r>
              <w:t>…</w:t>
            </w:r>
          </w:p>
        </w:tc>
        <w:tc>
          <w:tcPr>
            <w:tcW w:w="414" w:type="dxa"/>
            <w:vAlign w:val="center"/>
          </w:tcPr>
          <w:p w14:paraId="0D22F2EA" w14:textId="77777777" w:rsidR="00BC4281" w:rsidRDefault="00BC4281" w:rsidP="0063685B">
            <w:pPr>
              <w:keepNext/>
              <w:spacing w:after="0"/>
              <w:jc w:val="center"/>
            </w:pPr>
            <w:r>
              <w:t>n</w:t>
            </w:r>
          </w:p>
        </w:tc>
        <w:tc>
          <w:tcPr>
            <w:tcW w:w="1204" w:type="dxa"/>
            <w:vMerge/>
            <w:vAlign w:val="center"/>
          </w:tcPr>
          <w:p w14:paraId="10CDB54E" w14:textId="77777777" w:rsidR="00BC4281" w:rsidRDefault="00BC4281" w:rsidP="0063685B">
            <w:pPr>
              <w:keepNext/>
              <w:spacing w:after="0"/>
              <w:jc w:val="center"/>
            </w:pPr>
          </w:p>
        </w:tc>
        <w:tc>
          <w:tcPr>
            <w:tcW w:w="1417" w:type="dxa"/>
            <w:vMerge/>
            <w:vAlign w:val="center"/>
          </w:tcPr>
          <w:p w14:paraId="3EB130F3" w14:textId="77777777" w:rsidR="00BC4281" w:rsidRDefault="00BC4281" w:rsidP="0063685B">
            <w:pPr>
              <w:keepNext/>
              <w:spacing w:after="0"/>
              <w:jc w:val="center"/>
            </w:pPr>
          </w:p>
        </w:tc>
        <w:tc>
          <w:tcPr>
            <w:tcW w:w="1276" w:type="dxa"/>
            <w:vMerge/>
            <w:vAlign w:val="center"/>
          </w:tcPr>
          <w:p w14:paraId="2EAFBC49" w14:textId="77777777" w:rsidR="00BC4281" w:rsidRDefault="00BC4281" w:rsidP="0063685B">
            <w:pPr>
              <w:keepNext/>
              <w:spacing w:after="0"/>
              <w:jc w:val="center"/>
            </w:pPr>
          </w:p>
        </w:tc>
        <w:tc>
          <w:tcPr>
            <w:tcW w:w="1281" w:type="dxa"/>
            <w:vMerge/>
            <w:vAlign w:val="center"/>
          </w:tcPr>
          <w:p w14:paraId="26D7067A" w14:textId="77777777" w:rsidR="00BC4281" w:rsidRDefault="00BC4281" w:rsidP="0063685B">
            <w:pPr>
              <w:keepNext/>
              <w:spacing w:after="0"/>
              <w:jc w:val="center"/>
            </w:pPr>
          </w:p>
        </w:tc>
        <w:tc>
          <w:tcPr>
            <w:tcW w:w="1417" w:type="dxa"/>
            <w:vMerge/>
            <w:vAlign w:val="center"/>
          </w:tcPr>
          <w:p w14:paraId="22203483" w14:textId="77777777" w:rsidR="00BC4281" w:rsidRDefault="00BC4281" w:rsidP="0063685B">
            <w:pPr>
              <w:keepNext/>
              <w:spacing w:after="0"/>
              <w:jc w:val="center"/>
            </w:pPr>
          </w:p>
        </w:tc>
      </w:tr>
      <w:tr w:rsidR="00BC4281" w14:paraId="7F1C5132" w14:textId="77777777" w:rsidTr="0063685B">
        <w:trPr>
          <w:trHeight w:val="57"/>
        </w:trPr>
        <w:tc>
          <w:tcPr>
            <w:tcW w:w="279" w:type="dxa"/>
            <w:vMerge w:val="restart"/>
            <w:textDirection w:val="btLr"/>
          </w:tcPr>
          <w:p w14:paraId="247A206A" w14:textId="77777777" w:rsidR="00BC4281" w:rsidRDefault="00BC4281" w:rsidP="0063685B">
            <w:pPr>
              <w:keepNext/>
              <w:spacing w:after="0"/>
              <w:ind w:left="113" w:right="113"/>
              <w:jc w:val="center"/>
            </w:pPr>
            <w:proofErr w:type="spellStart"/>
            <w:r>
              <w:t>Productos</w:t>
            </w:r>
            <w:proofErr w:type="spellEnd"/>
          </w:p>
        </w:tc>
        <w:tc>
          <w:tcPr>
            <w:tcW w:w="416" w:type="dxa"/>
            <w:vAlign w:val="center"/>
          </w:tcPr>
          <w:p w14:paraId="7C3A3994" w14:textId="77777777" w:rsidR="00BC4281" w:rsidRDefault="00BC4281" w:rsidP="0063685B">
            <w:pPr>
              <w:keepNext/>
              <w:spacing w:after="0"/>
              <w:jc w:val="center"/>
            </w:pPr>
            <w:r>
              <w:t>1</w:t>
            </w:r>
          </w:p>
        </w:tc>
        <w:tc>
          <w:tcPr>
            <w:tcW w:w="2486" w:type="dxa"/>
            <w:gridSpan w:val="6"/>
            <w:vMerge w:val="restart"/>
            <w:vAlign w:val="center"/>
          </w:tcPr>
          <w:p w14:paraId="60BFD002" w14:textId="77777777" w:rsidR="00BC4281" w:rsidRPr="00F01ADE" w:rsidRDefault="00BC4281" w:rsidP="0063685B">
            <w:pPr>
              <w:keepNext/>
              <w:spacing w:after="0"/>
              <w:jc w:val="center"/>
              <w:rPr>
                <w:sz w:val="16"/>
                <w:szCs w:val="16"/>
                <w:lang w:val="es-ES"/>
              </w:rPr>
            </w:pPr>
            <w:r w:rsidRPr="00F01ADE">
              <w:rPr>
                <w:sz w:val="16"/>
                <w:szCs w:val="16"/>
                <w:lang w:val="es-ES"/>
              </w:rPr>
              <w:t xml:space="preserve">Producción a </w:t>
            </w:r>
            <w:r w:rsidRPr="00F01ADE">
              <w:rPr>
                <w:sz w:val="16"/>
                <w:szCs w:val="16"/>
                <w:u w:val="single"/>
                <w:lang w:val="es-ES"/>
              </w:rPr>
              <w:t>precios básicos</w:t>
            </w:r>
            <w:r w:rsidRPr="00F01ADE">
              <w:rPr>
                <w:sz w:val="16"/>
                <w:szCs w:val="16"/>
                <w:lang w:val="es-ES"/>
              </w:rPr>
              <w:t xml:space="preserve"> por productos y ramas de actividad</w:t>
            </w:r>
          </w:p>
        </w:tc>
        <w:tc>
          <w:tcPr>
            <w:tcW w:w="1204" w:type="dxa"/>
            <w:vAlign w:val="center"/>
          </w:tcPr>
          <w:p w14:paraId="399BD6A3" w14:textId="77777777" w:rsidR="00BC4281" w:rsidRPr="00F01ADE" w:rsidRDefault="00BC4281" w:rsidP="0063685B">
            <w:pPr>
              <w:keepNext/>
              <w:spacing w:after="0"/>
              <w:jc w:val="center"/>
              <w:rPr>
                <w:lang w:val="es-ES"/>
              </w:rPr>
            </w:pPr>
          </w:p>
        </w:tc>
        <w:tc>
          <w:tcPr>
            <w:tcW w:w="1417" w:type="dxa"/>
            <w:vAlign w:val="center"/>
          </w:tcPr>
          <w:p w14:paraId="2A85F2FF" w14:textId="77777777" w:rsidR="00BC4281" w:rsidRPr="00F01ADE" w:rsidRDefault="00BC4281" w:rsidP="0063685B">
            <w:pPr>
              <w:keepNext/>
              <w:spacing w:after="0"/>
              <w:jc w:val="center"/>
              <w:rPr>
                <w:lang w:val="es-ES"/>
              </w:rPr>
            </w:pPr>
          </w:p>
        </w:tc>
        <w:tc>
          <w:tcPr>
            <w:tcW w:w="1276" w:type="dxa"/>
            <w:vAlign w:val="center"/>
          </w:tcPr>
          <w:p w14:paraId="6FC7FAEC" w14:textId="77777777" w:rsidR="00BC4281" w:rsidRPr="00F01ADE" w:rsidRDefault="00BC4281" w:rsidP="0063685B">
            <w:pPr>
              <w:keepNext/>
              <w:spacing w:after="0"/>
              <w:jc w:val="center"/>
              <w:rPr>
                <w:lang w:val="es-ES"/>
              </w:rPr>
            </w:pPr>
          </w:p>
        </w:tc>
        <w:tc>
          <w:tcPr>
            <w:tcW w:w="1281" w:type="dxa"/>
            <w:vAlign w:val="center"/>
          </w:tcPr>
          <w:p w14:paraId="65F22B37" w14:textId="77777777" w:rsidR="00BC4281" w:rsidRPr="00F01ADE" w:rsidRDefault="00BC4281" w:rsidP="0063685B">
            <w:pPr>
              <w:keepNext/>
              <w:spacing w:after="0"/>
              <w:jc w:val="center"/>
              <w:rPr>
                <w:lang w:val="es-ES"/>
              </w:rPr>
            </w:pPr>
          </w:p>
        </w:tc>
        <w:tc>
          <w:tcPr>
            <w:tcW w:w="1417" w:type="dxa"/>
            <w:vAlign w:val="center"/>
          </w:tcPr>
          <w:p w14:paraId="1670C402" w14:textId="77777777" w:rsidR="00BC4281" w:rsidRPr="00F01ADE" w:rsidRDefault="00BC4281" w:rsidP="0063685B">
            <w:pPr>
              <w:keepNext/>
              <w:spacing w:after="0"/>
              <w:jc w:val="center"/>
              <w:rPr>
                <w:lang w:val="es-ES"/>
              </w:rPr>
            </w:pPr>
          </w:p>
        </w:tc>
      </w:tr>
      <w:tr w:rsidR="00BC4281" w14:paraId="72893B20" w14:textId="77777777" w:rsidTr="0063685B">
        <w:trPr>
          <w:trHeight w:val="57"/>
        </w:trPr>
        <w:tc>
          <w:tcPr>
            <w:tcW w:w="279" w:type="dxa"/>
            <w:vMerge/>
          </w:tcPr>
          <w:p w14:paraId="7C63EE83" w14:textId="77777777" w:rsidR="00BC4281" w:rsidRPr="00F01ADE" w:rsidRDefault="00BC4281" w:rsidP="0063685B">
            <w:pPr>
              <w:keepNext/>
              <w:spacing w:after="0"/>
              <w:jc w:val="center"/>
              <w:rPr>
                <w:lang w:val="es-ES"/>
              </w:rPr>
            </w:pPr>
          </w:p>
        </w:tc>
        <w:tc>
          <w:tcPr>
            <w:tcW w:w="416" w:type="dxa"/>
            <w:vAlign w:val="center"/>
          </w:tcPr>
          <w:p w14:paraId="20C20177" w14:textId="77777777" w:rsidR="00BC4281" w:rsidRDefault="00BC4281" w:rsidP="0063685B">
            <w:pPr>
              <w:keepNext/>
              <w:spacing w:after="0"/>
              <w:jc w:val="center"/>
            </w:pPr>
            <w:r>
              <w:t>2</w:t>
            </w:r>
          </w:p>
        </w:tc>
        <w:tc>
          <w:tcPr>
            <w:tcW w:w="2486" w:type="dxa"/>
            <w:gridSpan w:val="6"/>
            <w:vMerge/>
            <w:vAlign w:val="center"/>
          </w:tcPr>
          <w:p w14:paraId="4DBEFF08" w14:textId="77777777" w:rsidR="00BC4281" w:rsidRDefault="00BC4281" w:rsidP="0063685B">
            <w:pPr>
              <w:keepNext/>
              <w:spacing w:after="0"/>
              <w:jc w:val="center"/>
            </w:pPr>
          </w:p>
        </w:tc>
        <w:tc>
          <w:tcPr>
            <w:tcW w:w="1204" w:type="dxa"/>
            <w:vAlign w:val="center"/>
          </w:tcPr>
          <w:p w14:paraId="334AB6B7" w14:textId="77777777" w:rsidR="00BC4281" w:rsidRDefault="00BC4281" w:rsidP="0063685B">
            <w:pPr>
              <w:keepNext/>
              <w:spacing w:after="0"/>
              <w:jc w:val="center"/>
            </w:pPr>
          </w:p>
        </w:tc>
        <w:tc>
          <w:tcPr>
            <w:tcW w:w="1417" w:type="dxa"/>
            <w:vAlign w:val="center"/>
          </w:tcPr>
          <w:p w14:paraId="54505808" w14:textId="77777777" w:rsidR="00BC4281" w:rsidRDefault="00BC4281" w:rsidP="0063685B">
            <w:pPr>
              <w:keepNext/>
              <w:spacing w:after="0"/>
              <w:jc w:val="center"/>
            </w:pPr>
          </w:p>
        </w:tc>
        <w:tc>
          <w:tcPr>
            <w:tcW w:w="1276" w:type="dxa"/>
            <w:vAlign w:val="center"/>
          </w:tcPr>
          <w:p w14:paraId="294E04AC" w14:textId="77777777" w:rsidR="00BC4281" w:rsidRDefault="00BC4281" w:rsidP="0063685B">
            <w:pPr>
              <w:keepNext/>
              <w:spacing w:after="0"/>
              <w:jc w:val="center"/>
            </w:pPr>
          </w:p>
        </w:tc>
        <w:tc>
          <w:tcPr>
            <w:tcW w:w="1281" w:type="dxa"/>
            <w:vAlign w:val="center"/>
          </w:tcPr>
          <w:p w14:paraId="31160530" w14:textId="77777777" w:rsidR="00BC4281" w:rsidRDefault="00BC4281" w:rsidP="0063685B">
            <w:pPr>
              <w:keepNext/>
              <w:spacing w:after="0"/>
              <w:jc w:val="center"/>
            </w:pPr>
          </w:p>
        </w:tc>
        <w:tc>
          <w:tcPr>
            <w:tcW w:w="1417" w:type="dxa"/>
            <w:vAlign w:val="center"/>
          </w:tcPr>
          <w:p w14:paraId="34D1DFF3" w14:textId="77777777" w:rsidR="00BC4281" w:rsidRDefault="00BC4281" w:rsidP="0063685B">
            <w:pPr>
              <w:keepNext/>
              <w:spacing w:after="0"/>
              <w:jc w:val="center"/>
            </w:pPr>
          </w:p>
        </w:tc>
      </w:tr>
      <w:tr w:rsidR="00BC4281" w14:paraId="4B2FD5FF" w14:textId="77777777" w:rsidTr="0063685B">
        <w:trPr>
          <w:trHeight w:val="57"/>
        </w:trPr>
        <w:tc>
          <w:tcPr>
            <w:tcW w:w="279" w:type="dxa"/>
            <w:vMerge/>
          </w:tcPr>
          <w:p w14:paraId="15AE3044" w14:textId="77777777" w:rsidR="00BC4281" w:rsidRDefault="00BC4281" w:rsidP="0063685B">
            <w:pPr>
              <w:keepNext/>
              <w:spacing w:after="0"/>
              <w:jc w:val="center"/>
            </w:pPr>
          </w:p>
        </w:tc>
        <w:tc>
          <w:tcPr>
            <w:tcW w:w="416" w:type="dxa"/>
            <w:vAlign w:val="center"/>
          </w:tcPr>
          <w:p w14:paraId="567E5B12" w14:textId="77777777" w:rsidR="00BC4281" w:rsidRDefault="00BC4281" w:rsidP="0063685B">
            <w:pPr>
              <w:keepNext/>
              <w:spacing w:after="0"/>
              <w:jc w:val="center"/>
            </w:pPr>
            <w:r>
              <w:t>3</w:t>
            </w:r>
          </w:p>
        </w:tc>
        <w:tc>
          <w:tcPr>
            <w:tcW w:w="2486" w:type="dxa"/>
            <w:gridSpan w:val="6"/>
            <w:vMerge/>
            <w:vAlign w:val="center"/>
          </w:tcPr>
          <w:p w14:paraId="4878AE7C" w14:textId="77777777" w:rsidR="00BC4281" w:rsidRDefault="00BC4281" w:rsidP="0063685B">
            <w:pPr>
              <w:keepNext/>
              <w:spacing w:after="0"/>
              <w:jc w:val="center"/>
            </w:pPr>
          </w:p>
        </w:tc>
        <w:tc>
          <w:tcPr>
            <w:tcW w:w="1204" w:type="dxa"/>
            <w:vAlign w:val="center"/>
          </w:tcPr>
          <w:p w14:paraId="58CAA8EE" w14:textId="77777777" w:rsidR="00BC4281" w:rsidRDefault="00BC4281" w:rsidP="0063685B">
            <w:pPr>
              <w:keepNext/>
              <w:spacing w:after="0"/>
              <w:jc w:val="center"/>
            </w:pPr>
          </w:p>
        </w:tc>
        <w:tc>
          <w:tcPr>
            <w:tcW w:w="1417" w:type="dxa"/>
            <w:vAlign w:val="center"/>
          </w:tcPr>
          <w:p w14:paraId="71BFA326" w14:textId="77777777" w:rsidR="00BC4281" w:rsidRDefault="00BC4281" w:rsidP="0063685B">
            <w:pPr>
              <w:keepNext/>
              <w:spacing w:after="0"/>
              <w:jc w:val="center"/>
            </w:pPr>
          </w:p>
        </w:tc>
        <w:tc>
          <w:tcPr>
            <w:tcW w:w="1276" w:type="dxa"/>
            <w:vAlign w:val="center"/>
          </w:tcPr>
          <w:p w14:paraId="5FE2F033" w14:textId="77777777" w:rsidR="00BC4281" w:rsidRDefault="00BC4281" w:rsidP="0063685B">
            <w:pPr>
              <w:keepNext/>
              <w:spacing w:after="0"/>
              <w:jc w:val="center"/>
            </w:pPr>
          </w:p>
        </w:tc>
        <w:tc>
          <w:tcPr>
            <w:tcW w:w="1281" w:type="dxa"/>
            <w:vAlign w:val="center"/>
          </w:tcPr>
          <w:p w14:paraId="2025B70F" w14:textId="77777777" w:rsidR="00BC4281" w:rsidRDefault="00BC4281" w:rsidP="0063685B">
            <w:pPr>
              <w:keepNext/>
              <w:spacing w:after="0"/>
              <w:jc w:val="center"/>
            </w:pPr>
          </w:p>
        </w:tc>
        <w:tc>
          <w:tcPr>
            <w:tcW w:w="1417" w:type="dxa"/>
            <w:vAlign w:val="center"/>
          </w:tcPr>
          <w:p w14:paraId="61EC8ED1" w14:textId="77777777" w:rsidR="00BC4281" w:rsidRDefault="00BC4281" w:rsidP="0063685B">
            <w:pPr>
              <w:keepNext/>
              <w:spacing w:after="0"/>
              <w:jc w:val="center"/>
            </w:pPr>
          </w:p>
        </w:tc>
      </w:tr>
      <w:tr w:rsidR="00BC4281" w14:paraId="625DB0FA" w14:textId="77777777" w:rsidTr="0063685B">
        <w:trPr>
          <w:trHeight w:val="57"/>
        </w:trPr>
        <w:tc>
          <w:tcPr>
            <w:tcW w:w="279" w:type="dxa"/>
            <w:vMerge/>
          </w:tcPr>
          <w:p w14:paraId="05316AF6" w14:textId="77777777" w:rsidR="00BC4281" w:rsidRDefault="00BC4281" w:rsidP="0063685B">
            <w:pPr>
              <w:keepNext/>
              <w:spacing w:after="0"/>
              <w:jc w:val="center"/>
            </w:pPr>
          </w:p>
        </w:tc>
        <w:tc>
          <w:tcPr>
            <w:tcW w:w="416" w:type="dxa"/>
            <w:vAlign w:val="center"/>
          </w:tcPr>
          <w:p w14:paraId="53E1123E" w14:textId="77777777" w:rsidR="00BC4281" w:rsidRDefault="00BC4281" w:rsidP="0063685B">
            <w:pPr>
              <w:keepNext/>
              <w:spacing w:after="0"/>
              <w:jc w:val="center"/>
            </w:pPr>
            <w:r>
              <w:t>4</w:t>
            </w:r>
          </w:p>
        </w:tc>
        <w:tc>
          <w:tcPr>
            <w:tcW w:w="2486" w:type="dxa"/>
            <w:gridSpan w:val="6"/>
            <w:vMerge/>
            <w:vAlign w:val="center"/>
          </w:tcPr>
          <w:p w14:paraId="7C85BB2C" w14:textId="77777777" w:rsidR="00BC4281" w:rsidRDefault="00BC4281" w:rsidP="0063685B">
            <w:pPr>
              <w:keepNext/>
              <w:spacing w:after="0"/>
              <w:jc w:val="center"/>
            </w:pPr>
          </w:p>
        </w:tc>
        <w:tc>
          <w:tcPr>
            <w:tcW w:w="1204" w:type="dxa"/>
            <w:vAlign w:val="center"/>
          </w:tcPr>
          <w:p w14:paraId="316A8158" w14:textId="77777777" w:rsidR="00BC4281" w:rsidRDefault="00BC4281" w:rsidP="0063685B">
            <w:pPr>
              <w:keepNext/>
              <w:spacing w:after="0"/>
              <w:jc w:val="center"/>
            </w:pPr>
          </w:p>
        </w:tc>
        <w:tc>
          <w:tcPr>
            <w:tcW w:w="1417" w:type="dxa"/>
            <w:vAlign w:val="center"/>
          </w:tcPr>
          <w:p w14:paraId="5DF0D845" w14:textId="77777777" w:rsidR="00BC4281" w:rsidRDefault="00BC4281" w:rsidP="0063685B">
            <w:pPr>
              <w:keepNext/>
              <w:spacing w:after="0"/>
              <w:jc w:val="center"/>
            </w:pPr>
          </w:p>
        </w:tc>
        <w:tc>
          <w:tcPr>
            <w:tcW w:w="1276" w:type="dxa"/>
            <w:vAlign w:val="center"/>
          </w:tcPr>
          <w:p w14:paraId="7BA5BDF5" w14:textId="77777777" w:rsidR="00BC4281" w:rsidRDefault="00BC4281" w:rsidP="0063685B">
            <w:pPr>
              <w:keepNext/>
              <w:spacing w:after="0"/>
              <w:jc w:val="center"/>
            </w:pPr>
          </w:p>
        </w:tc>
        <w:tc>
          <w:tcPr>
            <w:tcW w:w="1281" w:type="dxa"/>
            <w:vAlign w:val="center"/>
          </w:tcPr>
          <w:p w14:paraId="2075599D" w14:textId="77777777" w:rsidR="00BC4281" w:rsidRDefault="00BC4281" w:rsidP="0063685B">
            <w:pPr>
              <w:keepNext/>
              <w:spacing w:after="0"/>
              <w:jc w:val="center"/>
            </w:pPr>
          </w:p>
        </w:tc>
        <w:tc>
          <w:tcPr>
            <w:tcW w:w="1417" w:type="dxa"/>
            <w:vAlign w:val="center"/>
          </w:tcPr>
          <w:p w14:paraId="50FBAE61" w14:textId="77777777" w:rsidR="00BC4281" w:rsidRDefault="00BC4281" w:rsidP="0063685B">
            <w:pPr>
              <w:keepNext/>
              <w:spacing w:after="0"/>
              <w:jc w:val="center"/>
            </w:pPr>
          </w:p>
        </w:tc>
      </w:tr>
      <w:tr w:rsidR="00BC4281" w14:paraId="502EFB3F" w14:textId="77777777" w:rsidTr="0063685B">
        <w:trPr>
          <w:trHeight w:val="57"/>
        </w:trPr>
        <w:tc>
          <w:tcPr>
            <w:tcW w:w="279" w:type="dxa"/>
            <w:vMerge/>
          </w:tcPr>
          <w:p w14:paraId="3F5B5CAF" w14:textId="77777777" w:rsidR="00BC4281" w:rsidRDefault="00BC4281" w:rsidP="0063685B">
            <w:pPr>
              <w:keepNext/>
              <w:spacing w:after="0"/>
              <w:jc w:val="center"/>
            </w:pPr>
          </w:p>
        </w:tc>
        <w:tc>
          <w:tcPr>
            <w:tcW w:w="416" w:type="dxa"/>
            <w:vAlign w:val="center"/>
          </w:tcPr>
          <w:p w14:paraId="2EFF74B3" w14:textId="77777777" w:rsidR="00BC4281" w:rsidRDefault="00BC4281" w:rsidP="0063685B">
            <w:pPr>
              <w:keepNext/>
              <w:spacing w:after="0"/>
              <w:jc w:val="center"/>
            </w:pPr>
            <w:r>
              <w:t>5</w:t>
            </w:r>
          </w:p>
        </w:tc>
        <w:tc>
          <w:tcPr>
            <w:tcW w:w="2486" w:type="dxa"/>
            <w:gridSpan w:val="6"/>
            <w:vMerge/>
            <w:vAlign w:val="center"/>
          </w:tcPr>
          <w:p w14:paraId="192CC9AD" w14:textId="77777777" w:rsidR="00BC4281" w:rsidRDefault="00BC4281" w:rsidP="0063685B">
            <w:pPr>
              <w:keepNext/>
              <w:spacing w:after="0"/>
              <w:jc w:val="center"/>
            </w:pPr>
          </w:p>
        </w:tc>
        <w:tc>
          <w:tcPr>
            <w:tcW w:w="1204" w:type="dxa"/>
            <w:vAlign w:val="center"/>
          </w:tcPr>
          <w:p w14:paraId="6641B2BC" w14:textId="77777777" w:rsidR="00BC4281" w:rsidRDefault="00BC4281" w:rsidP="0063685B">
            <w:pPr>
              <w:keepNext/>
              <w:spacing w:after="0"/>
              <w:jc w:val="center"/>
            </w:pPr>
          </w:p>
        </w:tc>
        <w:tc>
          <w:tcPr>
            <w:tcW w:w="1417" w:type="dxa"/>
            <w:vAlign w:val="center"/>
          </w:tcPr>
          <w:p w14:paraId="0172BBAE" w14:textId="77777777" w:rsidR="00BC4281" w:rsidRDefault="00BC4281" w:rsidP="0063685B">
            <w:pPr>
              <w:keepNext/>
              <w:spacing w:after="0"/>
              <w:jc w:val="center"/>
            </w:pPr>
          </w:p>
        </w:tc>
        <w:tc>
          <w:tcPr>
            <w:tcW w:w="1276" w:type="dxa"/>
            <w:vAlign w:val="center"/>
          </w:tcPr>
          <w:p w14:paraId="2996AC79" w14:textId="77777777" w:rsidR="00BC4281" w:rsidRDefault="00BC4281" w:rsidP="0063685B">
            <w:pPr>
              <w:keepNext/>
              <w:spacing w:after="0"/>
              <w:jc w:val="center"/>
            </w:pPr>
          </w:p>
        </w:tc>
        <w:tc>
          <w:tcPr>
            <w:tcW w:w="1281" w:type="dxa"/>
            <w:vAlign w:val="center"/>
          </w:tcPr>
          <w:p w14:paraId="14636285" w14:textId="77777777" w:rsidR="00BC4281" w:rsidRDefault="00BC4281" w:rsidP="0063685B">
            <w:pPr>
              <w:keepNext/>
              <w:spacing w:after="0"/>
              <w:jc w:val="center"/>
            </w:pPr>
          </w:p>
        </w:tc>
        <w:tc>
          <w:tcPr>
            <w:tcW w:w="1417" w:type="dxa"/>
            <w:vAlign w:val="center"/>
          </w:tcPr>
          <w:p w14:paraId="43C74F03" w14:textId="77777777" w:rsidR="00BC4281" w:rsidRDefault="00BC4281" w:rsidP="0063685B">
            <w:pPr>
              <w:keepNext/>
              <w:spacing w:after="0"/>
              <w:jc w:val="center"/>
            </w:pPr>
          </w:p>
        </w:tc>
      </w:tr>
      <w:tr w:rsidR="00BC4281" w14:paraId="37C5A313" w14:textId="77777777" w:rsidTr="0063685B">
        <w:trPr>
          <w:trHeight w:val="57"/>
        </w:trPr>
        <w:tc>
          <w:tcPr>
            <w:tcW w:w="279" w:type="dxa"/>
            <w:vMerge/>
          </w:tcPr>
          <w:p w14:paraId="35697741" w14:textId="77777777" w:rsidR="00BC4281" w:rsidRDefault="00BC4281" w:rsidP="0063685B">
            <w:pPr>
              <w:keepNext/>
              <w:spacing w:after="0"/>
              <w:jc w:val="center"/>
            </w:pPr>
          </w:p>
        </w:tc>
        <w:tc>
          <w:tcPr>
            <w:tcW w:w="416" w:type="dxa"/>
            <w:vAlign w:val="center"/>
          </w:tcPr>
          <w:p w14:paraId="2A10CA83" w14:textId="77777777" w:rsidR="00BC4281" w:rsidRDefault="00BC4281" w:rsidP="0063685B">
            <w:pPr>
              <w:keepNext/>
              <w:spacing w:after="0"/>
              <w:jc w:val="center"/>
            </w:pPr>
            <w:r>
              <w:t>6</w:t>
            </w:r>
          </w:p>
        </w:tc>
        <w:tc>
          <w:tcPr>
            <w:tcW w:w="2486" w:type="dxa"/>
            <w:gridSpan w:val="6"/>
            <w:vMerge/>
            <w:vAlign w:val="center"/>
          </w:tcPr>
          <w:p w14:paraId="6135CB85" w14:textId="77777777" w:rsidR="00BC4281" w:rsidRDefault="00BC4281" w:rsidP="0063685B">
            <w:pPr>
              <w:keepNext/>
              <w:spacing w:after="0"/>
              <w:jc w:val="center"/>
            </w:pPr>
          </w:p>
        </w:tc>
        <w:tc>
          <w:tcPr>
            <w:tcW w:w="1204" w:type="dxa"/>
            <w:vAlign w:val="center"/>
          </w:tcPr>
          <w:p w14:paraId="67CD958A" w14:textId="77777777" w:rsidR="00BC4281" w:rsidRDefault="00BC4281" w:rsidP="0063685B">
            <w:pPr>
              <w:keepNext/>
              <w:spacing w:after="0"/>
              <w:jc w:val="center"/>
            </w:pPr>
          </w:p>
        </w:tc>
        <w:tc>
          <w:tcPr>
            <w:tcW w:w="1417" w:type="dxa"/>
            <w:vAlign w:val="center"/>
          </w:tcPr>
          <w:p w14:paraId="54EEC25F" w14:textId="77777777" w:rsidR="00BC4281" w:rsidRDefault="00BC4281" w:rsidP="0063685B">
            <w:pPr>
              <w:keepNext/>
              <w:spacing w:after="0"/>
              <w:jc w:val="center"/>
            </w:pPr>
          </w:p>
        </w:tc>
        <w:tc>
          <w:tcPr>
            <w:tcW w:w="1276" w:type="dxa"/>
            <w:vAlign w:val="center"/>
          </w:tcPr>
          <w:p w14:paraId="66A39E49" w14:textId="77777777" w:rsidR="00BC4281" w:rsidRDefault="00BC4281" w:rsidP="0063685B">
            <w:pPr>
              <w:keepNext/>
              <w:spacing w:after="0"/>
              <w:jc w:val="center"/>
            </w:pPr>
          </w:p>
        </w:tc>
        <w:tc>
          <w:tcPr>
            <w:tcW w:w="1281" w:type="dxa"/>
            <w:vAlign w:val="center"/>
          </w:tcPr>
          <w:p w14:paraId="2DFC4650" w14:textId="77777777" w:rsidR="00BC4281" w:rsidRDefault="00BC4281" w:rsidP="0063685B">
            <w:pPr>
              <w:keepNext/>
              <w:spacing w:after="0"/>
              <w:jc w:val="center"/>
            </w:pPr>
          </w:p>
        </w:tc>
        <w:tc>
          <w:tcPr>
            <w:tcW w:w="1417" w:type="dxa"/>
            <w:vAlign w:val="center"/>
          </w:tcPr>
          <w:p w14:paraId="42224534" w14:textId="77777777" w:rsidR="00BC4281" w:rsidRDefault="00BC4281" w:rsidP="0063685B">
            <w:pPr>
              <w:keepNext/>
              <w:spacing w:after="0"/>
              <w:jc w:val="center"/>
            </w:pPr>
          </w:p>
        </w:tc>
      </w:tr>
      <w:tr w:rsidR="00BC4281" w14:paraId="2B11167B" w14:textId="77777777" w:rsidTr="0063685B">
        <w:trPr>
          <w:trHeight w:val="57"/>
        </w:trPr>
        <w:tc>
          <w:tcPr>
            <w:tcW w:w="279" w:type="dxa"/>
            <w:vMerge/>
          </w:tcPr>
          <w:p w14:paraId="340DD8CF" w14:textId="77777777" w:rsidR="00BC4281" w:rsidRDefault="00BC4281" w:rsidP="0063685B">
            <w:pPr>
              <w:keepNext/>
              <w:spacing w:after="0"/>
              <w:jc w:val="center"/>
            </w:pPr>
          </w:p>
        </w:tc>
        <w:tc>
          <w:tcPr>
            <w:tcW w:w="416" w:type="dxa"/>
            <w:vAlign w:val="center"/>
          </w:tcPr>
          <w:p w14:paraId="12434CED" w14:textId="77777777" w:rsidR="00BC4281" w:rsidRDefault="00BC4281" w:rsidP="0063685B">
            <w:pPr>
              <w:keepNext/>
              <w:spacing w:after="0"/>
              <w:jc w:val="center"/>
            </w:pPr>
            <w:r>
              <w:t>…</w:t>
            </w:r>
          </w:p>
        </w:tc>
        <w:tc>
          <w:tcPr>
            <w:tcW w:w="2486" w:type="dxa"/>
            <w:gridSpan w:val="6"/>
            <w:vMerge/>
            <w:vAlign w:val="center"/>
          </w:tcPr>
          <w:p w14:paraId="3AEADDC4" w14:textId="77777777" w:rsidR="00BC4281" w:rsidRDefault="00BC4281" w:rsidP="0063685B">
            <w:pPr>
              <w:keepNext/>
              <w:spacing w:after="0"/>
              <w:jc w:val="center"/>
            </w:pPr>
          </w:p>
        </w:tc>
        <w:tc>
          <w:tcPr>
            <w:tcW w:w="1204" w:type="dxa"/>
            <w:vAlign w:val="center"/>
          </w:tcPr>
          <w:p w14:paraId="5F4A6E7C" w14:textId="77777777" w:rsidR="00BC4281" w:rsidRDefault="00BC4281" w:rsidP="0063685B">
            <w:pPr>
              <w:keepNext/>
              <w:spacing w:after="0"/>
              <w:jc w:val="center"/>
            </w:pPr>
          </w:p>
        </w:tc>
        <w:tc>
          <w:tcPr>
            <w:tcW w:w="1417" w:type="dxa"/>
            <w:vAlign w:val="center"/>
          </w:tcPr>
          <w:p w14:paraId="457D736C" w14:textId="77777777" w:rsidR="00BC4281" w:rsidRDefault="00BC4281" w:rsidP="0063685B">
            <w:pPr>
              <w:keepNext/>
              <w:spacing w:after="0"/>
              <w:jc w:val="center"/>
            </w:pPr>
          </w:p>
        </w:tc>
        <w:tc>
          <w:tcPr>
            <w:tcW w:w="1276" w:type="dxa"/>
            <w:vAlign w:val="center"/>
          </w:tcPr>
          <w:p w14:paraId="78C1D10B" w14:textId="77777777" w:rsidR="00BC4281" w:rsidRDefault="00BC4281" w:rsidP="0063685B">
            <w:pPr>
              <w:keepNext/>
              <w:spacing w:after="0"/>
              <w:jc w:val="center"/>
            </w:pPr>
          </w:p>
        </w:tc>
        <w:tc>
          <w:tcPr>
            <w:tcW w:w="1281" w:type="dxa"/>
            <w:vAlign w:val="center"/>
          </w:tcPr>
          <w:p w14:paraId="3E7D98E5" w14:textId="77777777" w:rsidR="00BC4281" w:rsidRDefault="00BC4281" w:rsidP="0063685B">
            <w:pPr>
              <w:keepNext/>
              <w:spacing w:after="0"/>
              <w:jc w:val="center"/>
            </w:pPr>
          </w:p>
        </w:tc>
        <w:tc>
          <w:tcPr>
            <w:tcW w:w="1417" w:type="dxa"/>
            <w:vAlign w:val="center"/>
          </w:tcPr>
          <w:p w14:paraId="735F5371" w14:textId="77777777" w:rsidR="00BC4281" w:rsidRDefault="00BC4281" w:rsidP="0063685B">
            <w:pPr>
              <w:keepNext/>
              <w:spacing w:after="0"/>
              <w:jc w:val="center"/>
            </w:pPr>
          </w:p>
        </w:tc>
      </w:tr>
      <w:tr w:rsidR="00BC4281" w14:paraId="5DEB3E57" w14:textId="77777777" w:rsidTr="0063685B">
        <w:trPr>
          <w:trHeight w:val="57"/>
        </w:trPr>
        <w:tc>
          <w:tcPr>
            <w:tcW w:w="279" w:type="dxa"/>
            <w:vMerge/>
          </w:tcPr>
          <w:p w14:paraId="49982D0C" w14:textId="77777777" w:rsidR="00BC4281" w:rsidRDefault="00BC4281" w:rsidP="0063685B">
            <w:pPr>
              <w:keepNext/>
              <w:spacing w:after="0"/>
              <w:jc w:val="center"/>
            </w:pPr>
          </w:p>
        </w:tc>
        <w:tc>
          <w:tcPr>
            <w:tcW w:w="416" w:type="dxa"/>
            <w:vAlign w:val="center"/>
          </w:tcPr>
          <w:p w14:paraId="6E050052" w14:textId="77777777" w:rsidR="00BC4281" w:rsidRDefault="00BC4281" w:rsidP="0063685B">
            <w:pPr>
              <w:keepNext/>
              <w:spacing w:after="0"/>
              <w:jc w:val="center"/>
            </w:pPr>
            <w:r>
              <w:t>m</w:t>
            </w:r>
          </w:p>
        </w:tc>
        <w:tc>
          <w:tcPr>
            <w:tcW w:w="2486" w:type="dxa"/>
            <w:gridSpan w:val="6"/>
            <w:vMerge/>
            <w:vAlign w:val="center"/>
          </w:tcPr>
          <w:p w14:paraId="50EA3742" w14:textId="77777777" w:rsidR="00BC4281" w:rsidRDefault="00BC4281" w:rsidP="0063685B">
            <w:pPr>
              <w:keepNext/>
              <w:spacing w:after="0"/>
              <w:jc w:val="center"/>
            </w:pPr>
          </w:p>
        </w:tc>
        <w:tc>
          <w:tcPr>
            <w:tcW w:w="1204" w:type="dxa"/>
            <w:vAlign w:val="center"/>
          </w:tcPr>
          <w:p w14:paraId="4456C75A" w14:textId="77777777" w:rsidR="00BC4281" w:rsidRDefault="00BC4281" w:rsidP="0063685B">
            <w:pPr>
              <w:keepNext/>
              <w:spacing w:after="0"/>
              <w:jc w:val="center"/>
            </w:pPr>
          </w:p>
        </w:tc>
        <w:tc>
          <w:tcPr>
            <w:tcW w:w="1417" w:type="dxa"/>
            <w:vAlign w:val="center"/>
          </w:tcPr>
          <w:p w14:paraId="502AA282" w14:textId="77777777" w:rsidR="00BC4281" w:rsidRDefault="00BC4281" w:rsidP="0063685B">
            <w:pPr>
              <w:keepNext/>
              <w:spacing w:after="0"/>
              <w:jc w:val="center"/>
            </w:pPr>
          </w:p>
        </w:tc>
        <w:tc>
          <w:tcPr>
            <w:tcW w:w="1276" w:type="dxa"/>
            <w:vAlign w:val="center"/>
          </w:tcPr>
          <w:p w14:paraId="0EA934C3" w14:textId="77777777" w:rsidR="00BC4281" w:rsidRDefault="00BC4281" w:rsidP="0063685B">
            <w:pPr>
              <w:keepNext/>
              <w:spacing w:after="0"/>
              <w:jc w:val="center"/>
            </w:pPr>
          </w:p>
        </w:tc>
        <w:tc>
          <w:tcPr>
            <w:tcW w:w="1281" w:type="dxa"/>
            <w:vAlign w:val="center"/>
          </w:tcPr>
          <w:p w14:paraId="0C59E706" w14:textId="77777777" w:rsidR="00BC4281" w:rsidRDefault="00BC4281" w:rsidP="0063685B">
            <w:pPr>
              <w:keepNext/>
              <w:spacing w:after="0"/>
              <w:jc w:val="center"/>
            </w:pPr>
          </w:p>
        </w:tc>
        <w:tc>
          <w:tcPr>
            <w:tcW w:w="1417" w:type="dxa"/>
            <w:vAlign w:val="center"/>
          </w:tcPr>
          <w:p w14:paraId="70007DE9" w14:textId="77777777" w:rsidR="00BC4281" w:rsidRDefault="00BC4281" w:rsidP="0063685B">
            <w:pPr>
              <w:keepNext/>
              <w:spacing w:after="0"/>
              <w:jc w:val="center"/>
            </w:pPr>
          </w:p>
        </w:tc>
      </w:tr>
      <w:tr w:rsidR="00BC4281" w14:paraId="26E3E3D7" w14:textId="77777777" w:rsidTr="0063685B">
        <w:trPr>
          <w:trHeight w:val="57"/>
        </w:trPr>
        <w:tc>
          <w:tcPr>
            <w:tcW w:w="279" w:type="dxa"/>
          </w:tcPr>
          <w:p w14:paraId="24C3829F" w14:textId="77777777" w:rsidR="00BC4281" w:rsidRDefault="00BC4281" w:rsidP="0063685B">
            <w:pPr>
              <w:keepNext/>
              <w:spacing w:after="0"/>
              <w:jc w:val="center"/>
            </w:pPr>
          </w:p>
        </w:tc>
        <w:tc>
          <w:tcPr>
            <w:tcW w:w="416" w:type="dxa"/>
            <w:vAlign w:val="center"/>
          </w:tcPr>
          <w:p w14:paraId="7B76E0A1" w14:textId="77777777" w:rsidR="00BC4281" w:rsidRDefault="00BC4281" w:rsidP="0063685B">
            <w:pPr>
              <w:keepNext/>
              <w:spacing w:after="0"/>
              <w:jc w:val="center"/>
            </w:pPr>
            <w:r>
              <w:t>S</w:t>
            </w:r>
          </w:p>
        </w:tc>
        <w:tc>
          <w:tcPr>
            <w:tcW w:w="2486" w:type="dxa"/>
            <w:gridSpan w:val="6"/>
            <w:vAlign w:val="center"/>
          </w:tcPr>
          <w:p w14:paraId="1A947CA6" w14:textId="77777777" w:rsidR="00BC4281" w:rsidRPr="00F01ADE" w:rsidRDefault="00BC4281" w:rsidP="0063685B">
            <w:pPr>
              <w:keepNext/>
              <w:spacing w:after="0"/>
              <w:jc w:val="center"/>
              <w:rPr>
                <w:sz w:val="16"/>
                <w:szCs w:val="14"/>
                <w:lang w:val="es-ES"/>
              </w:rPr>
            </w:pPr>
            <w:r w:rsidRPr="00F01ADE">
              <w:rPr>
                <w:sz w:val="16"/>
                <w:szCs w:val="14"/>
                <w:lang w:val="es-ES"/>
              </w:rPr>
              <w:t>Producción total</w:t>
            </w:r>
            <w:r w:rsidRPr="00F01ADE">
              <w:rPr>
                <w:sz w:val="16"/>
                <w:szCs w:val="14"/>
                <w:lang w:val="es-ES"/>
              </w:rPr>
              <w:br/>
              <w:t>por ramas de actividad</w:t>
            </w:r>
          </w:p>
        </w:tc>
        <w:tc>
          <w:tcPr>
            <w:tcW w:w="1204" w:type="dxa"/>
            <w:vAlign w:val="center"/>
          </w:tcPr>
          <w:p w14:paraId="4D7E9F08" w14:textId="77777777" w:rsidR="00BC4281" w:rsidRPr="005F5A7A" w:rsidRDefault="00BC4281" w:rsidP="0063685B">
            <w:pPr>
              <w:keepNext/>
              <w:spacing w:after="0"/>
              <w:jc w:val="center"/>
              <w:rPr>
                <w:sz w:val="16"/>
                <w:szCs w:val="16"/>
              </w:rPr>
            </w:pPr>
            <w:proofErr w:type="spellStart"/>
            <w:r w:rsidRPr="005F5A7A">
              <w:rPr>
                <w:sz w:val="16"/>
                <w:szCs w:val="16"/>
              </w:rPr>
              <w:t>Importaciones</w:t>
            </w:r>
            <w:proofErr w:type="spellEnd"/>
          </w:p>
        </w:tc>
        <w:tc>
          <w:tcPr>
            <w:tcW w:w="1417" w:type="dxa"/>
            <w:vAlign w:val="center"/>
          </w:tcPr>
          <w:p w14:paraId="0DA7CEA0" w14:textId="77777777" w:rsidR="00BC4281" w:rsidRPr="005F5A7A" w:rsidRDefault="00BC4281" w:rsidP="0063685B">
            <w:pPr>
              <w:keepNext/>
              <w:spacing w:after="0"/>
              <w:jc w:val="center"/>
              <w:rPr>
                <w:sz w:val="16"/>
                <w:szCs w:val="16"/>
              </w:rPr>
            </w:pPr>
            <w:proofErr w:type="spellStart"/>
            <w:r w:rsidRPr="005F5A7A">
              <w:rPr>
                <w:sz w:val="16"/>
                <w:szCs w:val="16"/>
              </w:rPr>
              <w:t>Oferta</w:t>
            </w:r>
            <w:proofErr w:type="spellEnd"/>
            <w:r w:rsidRPr="005F5A7A">
              <w:rPr>
                <w:sz w:val="16"/>
                <w:szCs w:val="16"/>
              </w:rPr>
              <w:t xml:space="preserve"> Total</w:t>
            </w:r>
          </w:p>
        </w:tc>
        <w:tc>
          <w:tcPr>
            <w:tcW w:w="1276" w:type="dxa"/>
            <w:vAlign w:val="center"/>
          </w:tcPr>
          <w:p w14:paraId="79AE85FF" w14:textId="77777777" w:rsidR="00BC4281" w:rsidRPr="005F5A7A" w:rsidRDefault="00BC4281" w:rsidP="0063685B">
            <w:pPr>
              <w:keepNext/>
              <w:spacing w:after="0"/>
              <w:jc w:val="center"/>
              <w:rPr>
                <w:sz w:val="16"/>
                <w:szCs w:val="16"/>
              </w:rPr>
            </w:pPr>
            <w:proofErr w:type="spellStart"/>
            <w:r w:rsidRPr="005F5A7A">
              <w:rPr>
                <w:sz w:val="16"/>
                <w:szCs w:val="16"/>
              </w:rPr>
              <w:t>Márgenes</w:t>
            </w:r>
            <w:proofErr w:type="spellEnd"/>
          </w:p>
        </w:tc>
        <w:tc>
          <w:tcPr>
            <w:tcW w:w="1281" w:type="dxa"/>
            <w:vAlign w:val="center"/>
          </w:tcPr>
          <w:p w14:paraId="3757787B" w14:textId="77777777" w:rsidR="00BC4281" w:rsidRPr="00F01ADE" w:rsidRDefault="00BC4281" w:rsidP="0063685B">
            <w:pPr>
              <w:keepNext/>
              <w:spacing w:after="0"/>
              <w:jc w:val="center"/>
              <w:rPr>
                <w:sz w:val="16"/>
                <w:szCs w:val="16"/>
                <w:lang w:val="es-ES"/>
              </w:rPr>
            </w:pPr>
            <w:r w:rsidRPr="00F01ADE">
              <w:rPr>
                <w:sz w:val="16"/>
                <w:szCs w:val="18"/>
                <w:lang w:val="es-ES"/>
              </w:rPr>
              <w:t>Impuestos netos sobre los productos</w:t>
            </w:r>
          </w:p>
        </w:tc>
        <w:tc>
          <w:tcPr>
            <w:tcW w:w="1417" w:type="dxa"/>
            <w:vAlign w:val="center"/>
          </w:tcPr>
          <w:p w14:paraId="31B5CF71" w14:textId="77777777" w:rsidR="00BC4281" w:rsidRPr="005F5A7A" w:rsidRDefault="00BC4281" w:rsidP="0063685B">
            <w:pPr>
              <w:keepNext/>
              <w:spacing w:after="0"/>
              <w:jc w:val="center"/>
              <w:rPr>
                <w:sz w:val="16"/>
                <w:szCs w:val="16"/>
              </w:rPr>
            </w:pPr>
            <w:proofErr w:type="spellStart"/>
            <w:r w:rsidRPr="005F5A7A">
              <w:rPr>
                <w:sz w:val="16"/>
                <w:szCs w:val="16"/>
              </w:rPr>
              <w:t>Recursos</w:t>
            </w:r>
            <w:proofErr w:type="spellEnd"/>
          </w:p>
        </w:tc>
      </w:tr>
    </w:tbl>
    <w:p w14:paraId="4C9DDFFC" w14:textId="77777777" w:rsidR="00BC4281" w:rsidRPr="008D6CB7" w:rsidRDefault="00BC4281" w:rsidP="00BC4281">
      <w:pPr>
        <w:pStyle w:val="Nivel2SM"/>
        <w:keepNext/>
        <w:spacing w:after="0"/>
      </w:pPr>
      <w:r w:rsidRPr="007324AF">
        <w:rPr>
          <w:i/>
          <w:iCs/>
          <w:u w:val="single"/>
        </w:rPr>
        <w:t>Tabla de Destino</w:t>
      </w:r>
      <w:r>
        <w:t>: Se</w:t>
      </w:r>
      <w:r w:rsidRPr="008D6CB7">
        <w:t xml:space="preserve"> puede a su vez dividir en </w:t>
      </w:r>
      <w:r>
        <w:t>2 </w:t>
      </w:r>
      <w:r w:rsidRPr="008D6CB7">
        <w:t>tablas</w:t>
      </w:r>
      <w:r>
        <w:t>:</w:t>
      </w:r>
    </w:p>
    <w:p w14:paraId="5FA6B5F7" w14:textId="77777777" w:rsidR="00BC4281" w:rsidRPr="008D6CB7" w:rsidRDefault="00BC4281" w:rsidP="00BC4281">
      <w:pPr>
        <w:pStyle w:val="Nivel3SM"/>
      </w:pPr>
      <w:r w:rsidRPr="008D6CB7">
        <w:t>Primera: Matriz que muestra las demandas</w:t>
      </w:r>
      <w:r>
        <w:t xml:space="preserve"> finales</w:t>
      </w:r>
      <w:r w:rsidRPr="008D6CB7">
        <w:t xml:space="preserve"> por productos.</w:t>
      </w:r>
    </w:p>
    <w:p w14:paraId="199FA265" w14:textId="77777777" w:rsidR="00BC4281" w:rsidRDefault="00BC4281" w:rsidP="00BC4281">
      <w:pPr>
        <w:pStyle w:val="Nivel3SM"/>
      </w:pPr>
      <w:r w:rsidRPr="008D6CB7">
        <w:t>Segunda: Factores productivos e inputs utilizados por cada rama de actividad.</w:t>
      </w:r>
    </w:p>
    <w:tbl>
      <w:tblPr>
        <w:tblStyle w:val="Tablaconcuadrcula"/>
        <w:tblW w:w="9928" w:type="dxa"/>
        <w:tblLayout w:type="fixed"/>
        <w:tblCellMar>
          <w:left w:w="28" w:type="dxa"/>
          <w:right w:w="28" w:type="dxa"/>
        </w:tblCellMar>
        <w:tblLook w:val="04A0" w:firstRow="1" w:lastRow="0" w:firstColumn="1" w:lastColumn="0" w:noHBand="0" w:noVBand="1"/>
      </w:tblPr>
      <w:tblGrid>
        <w:gridCol w:w="278"/>
        <w:gridCol w:w="567"/>
        <w:gridCol w:w="414"/>
        <w:gridCol w:w="414"/>
        <w:gridCol w:w="414"/>
        <w:gridCol w:w="414"/>
        <w:gridCol w:w="416"/>
        <w:gridCol w:w="414"/>
        <w:gridCol w:w="925"/>
        <w:gridCol w:w="851"/>
        <w:gridCol w:w="709"/>
        <w:gridCol w:w="1134"/>
        <w:gridCol w:w="993"/>
        <w:gridCol w:w="993"/>
        <w:gridCol w:w="992"/>
      </w:tblGrid>
      <w:tr w:rsidR="00BC4281" w14:paraId="319F6630" w14:textId="77777777" w:rsidTr="0063685B">
        <w:trPr>
          <w:trHeight w:val="57"/>
        </w:trPr>
        <w:tc>
          <w:tcPr>
            <w:tcW w:w="846" w:type="dxa"/>
            <w:gridSpan w:val="2"/>
            <w:vMerge w:val="restart"/>
            <w:vAlign w:val="center"/>
          </w:tcPr>
          <w:p w14:paraId="1C25B21E" w14:textId="77777777" w:rsidR="00BC4281" w:rsidRPr="00B16F10" w:rsidRDefault="00BC4281" w:rsidP="0063685B">
            <w:pPr>
              <w:keepNext/>
              <w:spacing w:after="0"/>
              <w:jc w:val="center"/>
              <w:rPr>
                <w:lang w:val="es-ES"/>
              </w:rPr>
            </w:pPr>
          </w:p>
        </w:tc>
        <w:tc>
          <w:tcPr>
            <w:tcW w:w="2486" w:type="dxa"/>
            <w:gridSpan w:val="6"/>
            <w:vAlign w:val="center"/>
          </w:tcPr>
          <w:p w14:paraId="6D2EEFEE" w14:textId="77777777" w:rsidR="00BC4281" w:rsidRDefault="00BC4281" w:rsidP="0063685B">
            <w:pPr>
              <w:keepNext/>
              <w:spacing w:after="0"/>
              <w:jc w:val="center"/>
            </w:pPr>
            <w:r>
              <w:t xml:space="preserve">Ramas de </w:t>
            </w:r>
            <w:proofErr w:type="spellStart"/>
            <w:r>
              <w:t>actividad</w:t>
            </w:r>
            <w:proofErr w:type="spellEnd"/>
          </w:p>
        </w:tc>
        <w:tc>
          <w:tcPr>
            <w:tcW w:w="925" w:type="dxa"/>
            <w:vMerge w:val="restart"/>
            <w:vAlign w:val="center"/>
          </w:tcPr>
          <w:p w14:paraId="3CB75ECB" w14:textId="77777777" w:rsidR="00BC4281" w:rsidRPr="00BE1D0C" w:rsidRDefault="00BC4281" w:rsidP="0063685B">
            <w:pPr>
              <w:keepNext/>
              <w:spacing w:after="0"/>
              <w:jc w:val="center"/>
              <w:rPr>
                <w:sz w:val="14"/>
                <w:szCs w:val="18"/>
              </w:rPr>
            </w:pPr>
            <w:proofErr w:type="spellStart"/>
            <w:r w:rsidRPr="00BE1D0C">
              <w:rPr>
                <w:sz w:val="14"/>
                <w:szCs w:val="18"/>
              </w:rPr>
              <w:t>Consumos</w:t>
            </w:r>
            <w:proofErr w:type="spellEnd"/>
            <w:r w:rsidRPr="00BE1D0C">
              <w:rPr>
                <w:sz w:val="14"/>
                <w:szCs w:val="18"/>
              </w:rPr>
              <w:t xml:space="preserve"> </w:t>
            </w:r>
            <w:proofErr w:type="spellStart"/>
            <w:r w:rsidRPr="00BE1D0C">
              <w:rPr>
                <w:sz w:val="14"/>
                <w:szCs w:val="18"/>
              </w:rPr>
              <w:t>intermedios</w:t>
            </w:r>
            <w:proofErr w:type="spellEnd"/>
          </w:p>
        </w:tc>
        <w:tc>
          <w:tcPr>
            <w:tcW w:w="851" w:type="dxa"/>
            <w:vMerge w:val="restart"/>
            <w:vAlign w:val="center"/>
          </w:tcPr>
          <w:p w14:paraId="61BC69C9" w14:textId="77777777" w:rsidR="00BC4281" w:rsidRPr="00BE1D0C" w:rsidRDefault="00BC4281" w:rsidP="0063685B">
            <w:pPr>
              <w:keepNext/>
              <w:spacing w:after="0"/>
              <w:jc w:val="center"/>
              <w:rPr>
                <w:sz w:val="14"/>
                <w:szCs w:val="18"/>
              </w:rPr>
            </w:pPr>
            <w:proofErr w:type="spellStart"/>
            <w:r w:rsidRPr="00BE1D0C">
              <w:rPr>
                <w:sz w:val="14"/>
                <w:szCs w:val="18"/>
              </w:rPr>
              <w:t>Consumo</w:t>
            </w:r>
            <w:proofErr w:type="spellEnd"/>
            <w:r w:rsidRPr="00BE1D0C">
              <w:rPr>
                <w:sz w:val="14"/>
                <w:szCs w:val="18"/>
              </w:rPr>
              <w:t xml:space="preserve"> individual</w:t>
            </w:r>
          </w:p>
        </w:tc>
        <w:tc>
          <w:tcPr>
            <w:tcW w:w="708" w:type="dxa"/>
            <w:vMerge w:val="restart"/>
            <w:vAlign w:val="center"/>
          </w:tcPr>
          <w:p w14:paraId="14332E45" w14:textId="77777777" w:rsidR="00BC4281" w:rsidRPr="00BE1D0C" w:rsidRDefault="00BC4281" w:rsidP="0063685B">
            <w:pPr>
              <w:keepNext/>
              <w:spacing w:after="0"/>
              <w:jc w:val="center"/>
              <w:rPr>
                <w:sz w:val="14"/>
                <w:szCs w:val="18"/>
              </w:rPr>
            </w:pPr>
            <w:proofErr w:type="spellStart"/>
            <w:r w:rsidRPr="00BE1D0C">
              <w:rPr>
                <w:sz w:val="14"/>
                <w:szCs w:val="18"/>
              </w:rPr>
              <w:t>Consumo</w:t>
            </w:r>
            <w:proofErr w:type="spellEnd"/>
            <w:r w:rsidRPr="00BE1D0C">
              <w:rPr>
                <w:sz w:val="14"/>
                <w:szCs w:val="18"/>
              </w:rPr>
              <w:t xml:space="preserve"> colectivo</w:t>
            </w:r>
          </w:p>
        </w:tc>
        <w:tc>
          <w:tcPr>
            <w:tcW w:w="1134" w:type="dxa"/>
            <w:vMerge w:val="restart"/>
            <w:vAlign w:val="center"/>
          </w:tcPr>
          <w:p w14:paraId="0A82D646" w14:textId="77777777" w:rsidR="00BC4281" w:rsidRPr="00BE1D0C" w:rsidRDefault="00BC4281" w:rsidP="0063685B">
            <w:pPr>
              <w:keepNext/>
              <w:spacing w:after="0"/>
              <w:jc w:val="center"/>
              <w:rPr>
                <w:sz w:val="14"/>
                <w:szCs w:val="18"/>
              </w:rPr>
            </w:pPr>
            <w:proofErr w:type="spellStart"/>
            <w:r w:rsidRPr="00BE1D0C">
              <w:rPr>
                <w:sz w:val="14"/>
                <w:szCs w:val="18"/>
              </w:rPr>
              <w:t>Formación</w:t>
            </w:r>
            <w:proofErr w:type="spellEnd"/>
            <w:r w:rsidRPr="00BE1D0C">
              <w:rPr>
                <w:sz w:val="14"/>
                <w:szCs w:val="18"/>
              </w:rPr>
              <w:t xml:space="preserve"> </w:t>
            </w:r>
            <w:proofErr w:type="spellStart"/>
            <w:r w:rsidRPr="00BE1D0C">
              <w:rPr>
                <w:sz w:val="14"/>
                <w:szCs w:val="18"/>
              </w:rPr>
              <w:t>bruta</w:t>
            </w:r>
            <w:proofErr w:type="spellEnd"/>
            <w:r w:rsidRPr="00BE1D0C">
              <w:rPr>
                <w:sz w:val="14"/>
                <w:szCs w:val="18"/>
              </w:rPr>
              <w:t xml:space="preserve"> de capital</w:t>
            </w:r>
          </w:p>
        </w:tc>
        <w:tc>
          <w:tcPr>
            <w:tcW w:w="993" w:type="dxa"/>
            <w:vMerge w:val="restart"/>
            <w:vAlign w:val="center"/>
          </w:tcPr>
          <w:p w14:paraId="586300AA" w14:textId="77777777" w:rsidR="00BC4281" w:rsidRPr="00BE1D0C" w:rsidRDefault="00BC4281" w:rsidP="0063685B">
            <w:pPr>
              <w:keepNext/>
              <w:spacing w:after="0"/>
              <w:jc w:val="center"/>
              <w:rPr>
                <w:sz w:val="14"/>
                <w:szCs w:val="18"/>
              </w:rPr>
            </w:pPr>
            <w:proofErr w:type="spellStart"/>
            <w:r w:rsidRPr="00BE1D0C">
              <w:rPr>
                <w:sz w:val="14"/>
                <w:szCs w:val="18"/>
              </w:rPr>
              <w:t>Exportaciones</w:t>
            </w:r>
            <w:proofErr w:type="spellEnd"/>
          </w:p>
        </w:tc>
        <w:tc>
          <w:tcPr>
            <w:tcW w:w="993" w:type="dxa"/>
            <w:vMerge w:val="restart"/>
            <w:vAlign w:val="center"/>
          </w:tcPr>
          <w:p w14:paraId="691D4D4D" w14:textId="77777777" w:rsidR="00BC4281" w:rsidRPr="00BE1D0C" w:rsidRDefault="00BC4281" w:rsidP="0063685B">
            <w:pPr>
              <w:keepNext/>
              <w:spacing w:after="0"/>
              <w:jc w:val="center"/>
              <w:rPr>
                <w:sz w:val="14"/>
                <w:szCs w:val="18"/>
              </w:rPr>
            </w:pPr>
            <w:proofErr w:type="spellStart"/>
            <w:r w:rsidRPr="00BE1D0C">
              <w:rPr>
                <w:sz w:val="14"/>
                <w:szCs w:val="18"/>
              </w:rPr>
              <w:t>Demanda</w:t>
            </w:r>
            <w:proofErr w:type="spellEnd"/>
            <w:r w:rsidRPr="00BE1D0C">
              <w:rPr>
                <w:sz w:val="14"/>
                <w:szCs w:val="18"/>
              </w:rPr>
              <w:t xml:space="preserve"> final</w:t>
            </w:r>
          </w:p>
        </w:tc>
        <w:tc>
          <w:tcPr>
            <w:tcW w:w="992" w:type="dxa"/>
            <w:vMerge w:val="restart"/>
            <w:vAlign w:val="center"/>
          </w:tcPr>
          <w:p w14:paraId="242B711F" w14:textId="77777777" w:rsidR="00BC4281" w:rsidRPr="00BE1D0C" w:rsidRDefault="00BC4281" w:rsidP="0063685B">
            <w:pPr>
              <w:keepNext/>
              <w:spacing w:after="0"/>
              <w:jc w:val="center"/>
              <w:rPr>
                <w:sz w:val="14"/>
                <w:szCs w:val="18"/>
              </w:rPr>
            </w:pPr>
            <w:r w:rsidRPr="00BE1D0C">
              <w:rPr>
                <w:sz w:val="14"/>
                <w:szCs w:val="18"/>
              </w:rPr>
              <w:t xml:space="preserve">Total </w:t>
            </w:r>
            <w:proofErr w:type="spellStart"/>
            <w:r w:rsidRPr="00BE1D0C">
              <w:rPr>
                <w:sz w:val="14"/>
                <w:szCs w:val="18"/>
              </w:rPr>
              <w:t>empleos</w:t>
            </w:r>
            <w:proofErr w:type="spellEnd"/>
          </w:p>
        </w:tc>
      </w:tr>
      <w:tr w:rsidR="00BC4281" w14:paraId="64663989" w14:textId="77777777" w:rsidTr="0063685B">
        <w:trPr>
          <w:trHeight w:val="57"/>
        </w:trPr>
        <w:tc>
          <w:tcPr>
            <w:tcW w:w="846" w:type="dxa"/>
            <w:gridSpan w:val="2"/>
            <w:vMerge/>
          </w:tcPr>
          <w:p w14:paraId="4B20148E" w14:textId="77777777" w:rsidR="00BC4281" w:rsidRDefault="00BC4281" w:rsidP="0063685B">
            <w:pPr>
              <w:keepNext/>
              <w:spacing w:after="0"/>
              <w:jc w:val="center"/>
            </w:pPr>
          </w:p>
        </w:tc>
        <w:tc>
          <w:tcPr>
            <w:tcW w:w="414" w:type="dxa"/>
            <w:vAlign w:val="center"/>
          </w:tcPr>
          <w:p w14:paraId="28C1729D" w14:textId="77777777" w:rsidR="00BC4281" w:rsidRDefault="00BC4281" w:rsidP="0063685B">
            <w:pPr>
              <w:keepNext/>
              <w:spacing w:after="0"/>
              <w:jc w:val="center"/>
            </w:pPr>
            <w:r>
              <w:t>1</w:t>
            </w:r>
          </w:p>
        </w:tc>
        <w:tc>
          <w:tcPr>
            <w:tcW w:w="414" w:type="dxa"/>
            <w:vAlign w:val="center"/>
          </w:tcPr>
          <w:p w14:paraId="2056C183" w14:textId="77777777" w:rsidR="00BC4281" w:rsidRDefault="00BC4281" w:rsidP="0063685B">
            <w:pPr>
              <w:keepNext/>
              <w:spacing w:after="0"/>
              <w:jc w:val="center"/>
            </w:pPr>
            <w:r>
              <w:t>2</w:t>
            </w:r>
          </w:p>
        </w:tc>
        <w:tc>
          <w:tcPr>
            <w:tcW w:w="414" w:type="dxa"/>
            <w:vAlign w:val="center"/>
          </w:tcPr>
          <w:p w14:paraId="3B4A7537" w14:textId="77777777" w:rsidR="00BC4281" w:rsidRDefault="00BC4281" w:rsidP="0063685B">
            <w:pPr>
              <w:keepNext/>
              <w:spacing w:after="0"/>
              <w:jc w:val="center"/>
            </w:pPr>
            <w:r>
              <w:t>3</w:t>
            </w:r>
          </w:p>
        </w:tc>
        <w:tc>
          <w:tcPr>
            <w:tcW w:w="414" w:type="dxa"/>
            <w:vAlign w:val="center"/>
          </w:tcPr>
          <w:p w14:paraId="327F826B" w14:textId="77777777" w:rsidR="00BC4281" w:rsidRDefault="00BC4281" w:rsidP="0063685B">
            <w:pPr>
              <w:keepNext/>
              <w:spacing w:after="0"/>
              <w:jc w:val="center"/>
            </w:pPr>
            <w:r>
              <w:t>4</w:t>
            </w:r>
          </w:p>
        </w:tc>
        <w:tc>
          <w:tcPr>
            <w:tcW w:w="416" w:type="dxa"/>
            <w:vAlign w:val="center"/>
          </w:tcPr>
          <w:p w14:paraId="60BB08A1" w14:textId="77777777" w:rsidR="00BC4281" w:rsidRDefault="00BC4281" w:rsidP="0063685B">
            <w:pPr>
              <w:keepNext/>
              <w:spacing w:after="0"/>
              <w:jc w:val="center"/>
            </w:pPr>
            <w:r>
              <w:t>…</w:t>
            </w:r>
          </w:p>
        </w:tc>
        <w:tc>
          <w:tcPr>
            <w:tcW w:w="414" w:type="dxa"/>
            <w:vAlign w:val="center"/>
          </w:tcPr>
          <w:p w14:paraId="0246E674" w14:textId="77777777" w:rsidR="00BC4281" w:rsidRDefault="00BC4281" w:rsidP="0063685B">
            <w:pPr>
              <w:keepNext/>
              <w:spacing w:after="0"/>
              <w:jc w:val="center"/>
            </w:pPr>
            <w:r>
              <w:t>n</w:t>
            </w:r>
          </w:p>
        </w:tc>
        <w:tc>
          <w:tcPr>
            <w:tcW w:w="925" w:type="dxa"/>
            <w:vMerge/>
            <w:vAlign w:val="center"/>
          </w:tcPr>
          <w:p w14:paraId="75039B12" w14:textId="77777777" w:rsidR="00BC4281" w:rsidRDefault="00BC4281" w:rsidP="0063685B">
            <w:pPr>
              <w:keepNext/>
              <w:spacing w:after="0"/>
              <w:jc w:val="center"/>
            </w:pPr>
          </w:p>
        </w:tc>
        <w:tc>
          <w:tcPr>
            <w:tcW w:w="851" w:type="dxa"/>
            <w:vMerge/>
            <w:vAlign w:val="center"/>
          </w:tcPr>
          <w:p w14:paraId="266104D1" w14:textId="77777777" w:rsidR="00BC4281" w:rsidRDefault="00BC4281" w:rsidP="0063685B">
            <w:pPr>
              <w:keepNext/>
              <w:spacing w:after="0"/>
              <w:jc w:val="center"/>
            </w:pPr>
          </w:p>
        </w:tc>
        <w:tc>
          <w:tcPr>
            <w:tcW w:w="708" w:type="dxa"/>
            <w:vMerge/>
            <w:vAlign w:val="center"/>
          </w:tcPr>
          <w:p w14:paraId="73029978" w14:textId="77777777" w:rsidR="00BC4281" w:rsidRDefault="00BC4281" w:rsidP="0063685B">
            <w:pPr>
              <w:keepNext/>
              <w:spacing w:after="0"/>
              <w:jc w:val="center"/>
            </w:pPr>
          </w:p>
        </w:tc>
        <w:tc>
          <w:tcPr>
            <w:tcW w:w="1134" w:type="dxa"/>
            <w:vMerge/>
            <w:vAlign w:val="center"/>
          </w:tcPr>
          <w:p w14:paraId="45C67EBD" w14:textId="77777777" w:rsidR="00BC4281" w:rsidRDefault="00BC4281" w:rsidP="0063685B">
            <w:pPr>
              <w:keepNext/>
              <w:spacing w:after="0"/>
              <w:jc w:val="center"/>
            </w:pPr>
          </w:p>
        </w:tc>
        <w:tc>
          <w:tcPr>
            <w:tcW w:w="993" w:type="dxa"/>
            <w:vMerge/>
            <w:vAlign w:val="center"/>
          </w:tcPr>
          <w:p w14:paraId="6AF8F319" w14:textId="77777777" w:rsidR="00BC4281" w:rsidRDefault="00BC4281" w:rsidP="0063685B">
            <w:pPr>
              <w:keepNext/>
              <w:spacing w:after="0"/>
              <w:jc w:val="center"/>
            </w:pPr>
          </w:p>
        </w:tc>
        <w:tc>
          <w:tcPr>
            <w:tcW w:w="993" w:type="dxa"/>
            <w:vMerge/>
            <w:vAlign w:val="center"/>
          </w:tcPr>
          <w:p w14:paraId="6B92E923" w14:textId="77777777" w:rsidR="00BC4281" w:rsidRDefault="00BC4281" w:rsidP="0063685B">
            <w:pPr>
              <w:keepNext/>
              <w:spacing w:after="0"/>
              <w:jc w:val="center"/>
            </w:pPr>
          </w:p>
        </w:tc>
        <w:tc>
          <w:tcPr>
            <w:tcW w:w="992" w:type="dxa"/>
            <w:vMerge/>
            <w:vAlign w:val="center"/>
          </w:tcPr>
          <w:p w14:paraId="7E06C2A5" w14:textId="77777777" w:rsidR="00BC4281" w:rsidRDefault="00BC4281" w:rsidP="0063685B">
            <w:pPr>
              <w:keepNext/>
              <w:spacing w:after="0"/>
              <w:jc w:val="center"/>
            </w:pPr>
          </w:p>
        </w:tc>
      </w:tr>
      <w:tr w:rsidR="00BC4281" w14:paraId="7D6753BF" w14:textId="77777777" w:rsidTr="0063685B">
        <w:trPr>
          <w:trHeight w:val="57"/>
        </w:trPr>
        <w:tc>
          <w:tcPr>
            <w:tcW w:w="279" w:type="dxa"/>
            <w:vMerge w:val="restart"/>
            <w:textDirection w:val="btLr"/>
            <w:vAlign w:val="center"/>
          </w:tcPr>
          <w:p w14:paraId="40BA37E1" w14:textId="77777777" w:rsidR="00BC4281" w:rsidRDefault="00BC4281" w:rsidP="0063685B">
            <w:pPr>
              <w:keepNext/>
              <w:spacing w:after="0"/>
              <w:ind w:left="113" w:right="113"/>
              <w:jc w:val="center"/>
            </w:pPr>
            <w:proofErr w:type="spellStart"/>
            <w:r>
              <w:t>Productos</w:t>
            </w:r>
            <w:proofErr w:type="spellEnd"/>
          </w:p>
        </w:tc>
        <w:tc>
          <w:tcPr>
            <w:tcW w:w="567" w:type="dxa"/>
            <w:vAlign w:val="center"/>
          </w:tcPr>
          <w:p w14:paraId="42FE76EC" w14:textId="77777777" w:rsidR="00BC4281" w:rsidRDefault="00BC4281" w:rsidP="0063685B">
            <w:pPr>
              <w:keepNext/>
              <w:spacing w:after="0"/>
              <w:jc w:val="center"/>
            </w:pPr>
            <w:r>
              <w:t>1</w:t>
            </w:r>
          </w:p>
        </w:tc>
        <w:tc>
          <w:tcPr>
            <w:tcW w:w="2486" w:type="dxa"/>
            <w:gridSpan w:val="6"/>
            <w:vMerge w:val="restart"/>
            <w:vAlign w:val="center"/>
          </w:tcPr>
          <w:p w14:paraId="372520D0" w14:textId="77777777" w:rsidR="00BC4281" w:rsidRPr="00F01ADE" w:rsidRDefault="00BC4281" w:rsidP="0063685B">
            <w:pPr>
              <w:keepNext/>
              <w:spacing w:after="0"/>
              <w:jc w:val="center"/>
              <w:rPr>
                <w:sz w:val="16"/>
                <w:szCs w:val="16"/>
                <w:lang w:val="es-ES"/>
              </w:rPr>
            </w:pPr>
            <w:r w:rsidRPr="00F01ADE">
              <w:rPr>
                <w:sz w:val="16"/>
                <w:szCs w:val="16"/>
                <w:lang w:val="es-ES"/>
              </w:rPr>
              <w:t xml:space="preserve">Consumos intermedios a </w:t>
            </w:r>
            <w:r w:rsidRPr="00F01ADE">
              <w:rPr>
                <w:sz w:val="16"/>
                <w:szCs w:val="16"/>
                <w:u w:val="single"/>
                <w:lang w:val="es-ES"/>
              </w:rPr>
              <w:t>precios de adquisición</w:t>
            </w:r>
            <w:r w:rsidRPr="00F01ADE">
              <w:rPr>
                <w:sz w:val="16"/>
                <w:szCs w:val="16"/>
                <w:lang w:val="es-ES"/>
              </w:rPr>
              <w:t xml:space="preserve"> por producto y por rama de actividad</w:t>
            </w:r>
          </w:p>
        </w:tc>
        <w:tc>
          <w:tcPr>
            <w:tcW w:w="925" w:type="dxa"/>
            <w:vAlign w:val="center"/>
          </w:tcPr>
          <w:p w14:paraId="2668A6AD" w14:textId="77777777" w:rsidR="00BC4281" w:rsidRPr="00F01ADE" w:rsidRDefault="00BC4281" w:rsidP="0063685B">
            <w:pPr>
              <w:keepNext/>
              <w:spacing w:after="0"/>
              <w:jc w:val="center"/>
              <w:rPr>
                <w:lang w:val="es-ES"/>
              </w:rPr>
            </w:pPr>
          </w:p>
        </w:tc>
        <w:tc>
          <w:tcPr>
            <w:tcW w:w="851" w:type="dxa"/>
            <w:vAlign w:val="center"/>
          </w:tcPr>
          <w:p w14:paraId="17CF0FE5" w14:textId="77777777" w:rsidR="00BC4281" w:rsidRPr="00F01ADE" w:rsidRDefault="00BC4281" w:rsidP="0063685B">
            <w:pPr>
              <w:keepNext/>
              <w:spacing w:after="0"/>
              <w:jc w:val="center"/>
              <w:rPr>
                <w:lang w:val="es-ES"/>
              </w:rPr>
            </w:pPr>
          </w:p>
        </w:tc>
        <w:tc>
          <w:tcPr>
            <w:tcW w:w="708" w:type="dxa"/>
            <w:vAlign w:val="center"/>
          </w:tcPr>
          <w:p w14:paraId="7DA17DE2" w14:textId="77777777" w:rsidR="00BC4281" w:rsidRPr="00F01ADE" w:rsidRDefault="00BC4281" w:rsidP="0063685B">
            <w:pPr>
              <w:keepNext/>
              <w:spacing w:after="0"/>
              <w:jc w:val="center"/>
              <w:rPr>
                <w:lang w:val="es-ES"/>
              </w:rPr>
            </w:pPr>
          </w:p>
        </w:tc>
        <w:tc>
          <w:tcPr>
            <w:tcW w:w="1134" w:type="dxa"/>
            <w:vAlign w:val="center"/>
          </w:tcPr>
          <w:p w14:paraId="3767420F" w14:textId="77777777" w:rsidR="00BC4281" w:rsidRPr="00F01ADE" w:rsidRDefault="00BC4281" w:rsidP="0063685B">
            <w:pPr>
              <w:keepNext/>
              <w:spacing w:after="0"/>
              <w:jc w:val="center"/>
              <w:rPr>
                <w:lang w:val="es-ES"/>
              </w:rPr>
            </w:pPr>
          </w:p>
        </w:tc>
        <w:tc>
          <w:tcPr>
            <w:tcW w:w="993" w:type="dxa"/>
            <w:vAlign w:val="center"/>
          </w:tcPr>
          <w:p w14:paraId="0F5E1624" w14:textId="77777777" w:rsidR="00BC4281" w:rsidRPr="00F01ADE" w:rsidRDefault="00BC4281" w:rsidP="0063685B">
            <w:pPr>
              <w:keepNext/>
              <w:spacing w:after="0"/>
              <w:jc w:val="center"/>
              <w:rPr>
                <w:lang w:val="es-ES"/>
              </w:rPr>
            </w:pPr>
          </w:p>
        </w:tc>
        <w:tc>
          <w:tcPr>
            <w:tcW w:w="993" w:type="dxa"/>
            <w:vAlign w:val="center"/>
          </w:tcPr>
          <w:p w14:paraId="27840AA4" w14:textId="77777777" w:rsidR="00BC4281" w:rsidRPr="00F01ADE" w:rsidRDefault="00BC4281" w:rsidP="0063685B">
            <w:pPr>
              <w:keepNext/>
              <w:spacing w:after="0"/>
              <w:jc w:val="center"/>
              <w:rPr>
                <w:lang w:val="es-ES"/>
              </w:rPr>
            </w:pPr>
          </w:p>
        </w:tc>
        <w:tc>
          <w:tcPr>
            <w:tcW w:w="992" w:type="dxa"/>
            <w:vAlign w:val="center"/>
          </w:tcPr>
          <w:p w14:paraId="0F990BD3" w14:textId="77777777" w:rsidR="00BC4281" w:rsidRPr="00F01ADE" w:rsidRDefault="00BC4281" w:rsidP="0063685B">
            <w:pPr>
              <w:keepNext/>
              <w:spacing w:after="0"/>
              <w:jc w:val="center"/>
              <w:rPr>
                <w:lang w:val="es-ES"/>
              </w:rPr>
            </w:pPr>
          </w:p>
        </w:tc>
      </w:tr>
      <w:tr w:rsidR="00BC4281" w14:paraId="78C9919F" w14:textId="77777777" w:rsidTr="0063685B">
        <w:trPr>
          <w:trHeight w:val="57"/>
        </w:trPr>
        <w:tc>
          <w:tcPr>
            <w:tcW w:w="279" w:type="dxa"/>
            <w:vMerge/>
          </w:tcPr>
          <w:p w14:paraId="0004CC23" w14:textId="77777777" w:rsidR="00BC4281" w:rsidRPr="00F01ADE" w:rsidRDefault="00BC4281" w:rsidP="0063685B">
            <w:pPr>
              <w:keepNext/>
              <w:spacing w:after="0"/>
              <w:jc w:val="center"/>
              <w:rPr>
                <w:lang w:val="es-ES"/>
              </w:rPr>
            </w:pPr>
          </w:p>
        </w:tc>
        <w:tc>
          <w:tcPr>
            <w:tcW w:w="567" w:type="dxa"/>
            <w:vAlign w:val="center"/>
          </w:tcPr>
          <w:p w14:paraId="53181708" w14:textId="77777777" w:rsidR="00BC4281" w:rsidRDefault="00BC4281" w:rsidP="0063685B">
            <w:pPr>
              <w:keepNext/>
              <w:spacing w:after="0"/>
              <w:jc w:val="center"/>
            </w:pPr>
            <w:r>
              <w:t>2</w:t>
            </w:r>
          </w:p>
        </w:tc>
        <w:tc>
          <w:tcPr>
            <w:tcW w:w="2486" w:type="dxa"/>
            <w:gridSpan w:val="6"/>
            <w:vMerge/>
            <w:vAlign w:val="center"/>
          </w:tcPr>
          <w:p w14:paraId="5E387036" w14:textId="77777777" w:rsidR="00BC4281" w:rsidRDefault="00BC4281" w:rsidP="0063685B">
            <w:pPr>
              <w:keepNext/>
              <w:spacing w:after="0"/>
              <w:jc w:val="center"/>
            </w:pPr>
          </w:p>
        </w:tc>
        <w:tc>
          <w:tcPr>
            <w:tcW w:w="925" w:type="dxa"/>
            <w:vAlign w:val="center"/>
          </w:tcPr>
          <w:p w14:paraId="3635BB4F" w14:textId="77777777" w:rsidR="00BC4281" w:rsidRDefault="00BC4281" w:rsidP="0063685B">
            <w:pPr>
              <w:keepNext/>
              <w:spacing w:after="0"/>
              <w:jc w:val="center"/>
            </w:pPr>
          </w:p>
        </w:tc>
        <w:tc>
          <w:tcPr>
            <w:tcW w:w="851" w:type="dxa"/>
            <w:vAlign w:val="center"/>
          </w:tcPr>
          <w:p w14:paraId="465F8A8F" w14:textId="77777777" w:rsidR="00BC4281" w:rsidRDefault="00BC4281" w:rsidP="0063685B">
            <w:pPr>
              <w:keepNext/>
              <w:spacing w:after="0"/>
              <w:jc w:val="center"/>
            </w:pPr>
          </w:p>
        </w:tc>
        <w:tc>
          <w:tcPr>
            <w:tcW w:w="708" w:type="dxa"/>
            <w:vAlign w:val="center"/>
          </w:tcPr>
          <w:p w14:paraId="5A536704" w14:textId="77777777" w:rsidR="00BC4281" w:rsidRDefault="00BC4281" w:rsidP="0063685B">
            <w:pPr>
              <w:keepNext/>
              <w:spacing w:after="0"/>
              <w:jc w:val="center"/>
            </w:pPr>
          </w:p>
        </w:tc>
        <w:tc>
          <w:tcPr>
            <w:tcW w:w="1134" w:type="dxa"/>
            <w:vAlign w:val="center"/>
          </w:tcPr>
          <w:p w14:paraId="4CA3E0D7" w14:textId="77777777" w:rsidR="00BC4281" w:rsidRDefault="00BC4281" w:rsidP="0063685B">
            <w:pPr>
              <w:keepNext/>
              <w:spacing w:after="0"/>
              <w:jc w:val="center"/>
            </w:pPr>
          </w:p>
        </w:tc>
        <w:tc>
          <w:tcPr>
            <w:tcW w:w="993" w:type="dxa"/>
            <w:vAlign w:val="center"/>
          </w:tcPr>
          <w:p w14:paraId="45F57085" w14:textId="77777777" w:rsidR="00BC4281" w:rsidRDefault="00BC4281" w:rsidP="0063685B">
            <w:pPr>
              <w:keepNext/>
              <w:spacing w:after="0"/>
              <w:jc w:val="center"/>
            </w:pPr>
          </w:p>
        </w:tc>
        <w:tc>
          <w:tcPr>
            <w:tcW w:w="993" w:type="dxa"/>
            <w:vAlign w:val="center"/>
          </w:tcPr>
          <w:p w14:paraId="73EA850A" w14:textId="77777777" w:rsidR="00BC4281" w:rsidRDefault="00BC4281" w:rsidP="0063685B">
            <w:pPr>
              <w:keepNext/>
              <w:spacing w:after="0"/>
              <w:jc w:val="center"/>
            </w:pPr>
          </w:p>
        </w:tc>
        <w:tc>
          <w:tcPr>
            <w:tcW w:w="992" w:type="dxa"/>
            <w:vAlign w:val="center"/>
          </w:tcPr>
          <w:p w14:paraId="06FED1F6" w14:textId="77777777" w:rsidR="00BC4281" w:rsidRDefault="00BC4281" w:rsidP="0063685B">
            <w:pPr>
              <w:keepNext/>
              <w:spacing w:after="0"/>
              <w:jc w:val="center"/>
            </w:pPr>
          </w:p>
        </w:tc>
      </w:tr>
      <w:tr w:rsidR="00BC4281" w14:paraId="5BBF6A2B" w14:textId="77777777" w:rsidTr="0063685B">
        <w:trPr>
          <w:trHeight w:val="57"/>
        </w:trPr>
        <w:tc>
          <w:tcPr>
            <w:tcW w:w="279" w:type="dxa"/>
            <w:vMerge/>
          </w:tcPr>
          <w:p w14:paraId="67E476FF" w14:textId="77777777" w:rsidR="00BC4281" w:rsidRDefault="00BC4281" w:rsidP="0063685B">
            <w:pPr>
              <w:keepNext/>
              <w:spacing w:after="0"/>
              <w:jc w:val="center"/>
            </w:pPr>
          </w:p>
        </w:tc>
        <w:tc>
          <w:tcPr>
            <w:tcW w:w="567" w:type="dxa"/>
            <w:vAlign w:val="center"/>
          </w:tcPr>
          <w:p w14:paraId="42B606C1" w14:textId="77777777" w:rsidR="00BC4281" w:rsidRDefault="00BC4281" w:rsidP="0063685B">
            <w:pPr>
              <w:keepNext/>
              <w:spacing w:after="0"/>
              <w:jc w:val="center"/>
            </w:pPr>
            <w:r>
              <w:t>3</w:t>
            </w:r>
          </w:p>
        </w:tc>
        <w:tc>
          <w:tcPr>
            <w:tcW w:w="2486" w:type="dxa"/>
            <w:gridSpan w:val="6"/>
            <w:vMerge/>
            <w:vAlign w:val="center"/>
          </w:tcPr>
          <w:p w14:paraId="5C2DE617" w14:textId="77777777" w:rsidR="00BC4281" w:rsidRDefault="00BC4281" w:rsidP="0063685B">
            <w:pPr>
              <w:keepNext/>
              <w:spacing w:after="0"/>
              <w:jc w:val="center"/>
            </w:pPr>
          </w:p>
        </w:tc>
        <w:tc>
          <w:tcPr>
            <w:tcW w:w="925" w:type="dxa"/>
            <w:vAlign w:val="center"/>
          </w:tcPr>
          <w:p w14:paraId="67E0E13C" w14:textId="77777777" w:rsidR="00BC4281" w:rsidRDefault="00BC4281" w:rsidP="0063685B">
            <w:pPr>
              <w:keepNext/>
              <w:spacing w:after="0"/>
              <w:jc w:val="center"/>
            </w:pPr>
          </w:p>
        </w:tc>
        <w:tc>
          <w:tcPr>
            <w:tcW w:w="851" w:type="dxa"/>
            <w:vAlign w:val="center"/>
          </w:tcPr>
          <w:p w14:paraId="392DB5AE" w14:textId="77777777" w:rsidR="00BC4281" w:rsidRDefault="00BC4281" w:rsidP="0063685B">
            <w:pPr>
              <w:keepNext/>
              <w:spacing w:after="0"/>
              <w:jc w:val="center"/>
            </w:pPr>
          </w:p>
        </w:tc>
        <w:tc>
          <w:tcPr>
            <w:tcW w:w="708" w:type="dxa"/>
            <w:vAlign w:val="center"/>
          </w:tcPr>
          <w:p w14:paraId="299FA9DB" w14:textId="77777777" w:rsidR="00BC4281" w:rsidRDefault="00BC4281" w:rsidP="0063685B">
            <w:pPr>
              <w:keepNext/>
              <w:spacing w:after="0"/>
              <w:jc w:val="center"/>
            </w:pPr>
          </w:p>
        </w:tc>
        <w:tc>
          <w:tcPr>
            <w:tcW w:w="1134" w:type="dxa"/>
            <w:vAlign w:val="center"/>
          </w:tcPr>
          <w:p w14:paraId="6D4401A2" w14:textId="77777777" w:rsidR="00BC4281" w:rsidRDefault="00BC4281" w:rsidP="0063685B">
            <w:pPr>
              <w:keepNext/>
              <w:spacing w:after="0"/>
              <w:jc w:val="center"/>
            </w:pPr>
          </w:p>
        </w:tc>
        <w:tc>
          <w:tcPr>
            <w:tcW w:w="993" w:type="dxa"/>
            <w:vAlign w:val="center"/>
          </w:tcPr>
          <w:p w14:paraId="64FFA434" w14:textId="77777777" w:rsidR="00BC4281" w:rsidRDefault="00BC4281" w:rsidP="0063685B">
            <w:pPr>
              <w:keepNext/>
              <w:spacing w:after="0"/>
              <w:jc w:val="center"/>
            </w:pPr>
          </w:p>
        </w:tc>
        <w:tc>
          <w:tcPr>
            <w:tcW w:w="993" w:type="dxa"/>
            <w:vAlign w:val="center"/>
          </w:tcPr>
          <w:p w14:paraId="3E4B3E93" w14:textId="77777777" w:rsidR="00BC4281" w:rsidRDefault="00BC4281" w:rsidP="0063685B">
            <w:pPr>
              <w:keepNext/>
              <w:spacing w:after="0"/>
              <w:jc w:val="center"/>
            </w:pPr>
          </w:p>
        </w:tc>
        <w:tc>
          <w:tcPr>
            <w:tcW w:w="992" w:type="dxa"/>
            <w:vAlign w:val="center"/>
          </w:tcPr>
          <w:p w14:paraId="67AC6584" w14:textId="77777777" w:rsidR="00BC4281" w:rsidRDefault="00BC4281" w:rsidP="0063685B">
            <w:pPr>
              <w:keepNext/>
              <w:spacing w:after="0"/>
              <w:jc w:val="center"/>
            </w:pPr>
          </w:p>
        </w:tc>
      </w:tr>
      <w:tr w:rsidR="00BC4281" w14:paraId="214946AE" w14:textId="77777777" w:rsidTr="0063685B">
        <w:trPr>
          <w:trHeight w:val="57"/>
        </w:trPr>
        <w:tc>
          <w:tcPr>
            <w:tcW w:w="279" w:type="dxa"/>
            <w:vMerge/>
          </w:tcPr>
          <w:p w14:paraId="5958DF11" w14:textId="77777777" w:rsidR="00BC4281" w:rsidRDefault="00BC4281" w:rsidP="0063685B">
            <w:pPr>
              <w:keepNext/>
              <w:spacing w:after="0"/>
              <w:jc w:val="center"/>
            </w:pPr>
          </w:p>
        </w:tc>
        <w:tc>
          <w:tcPr>
            <w:tcW w:w="567" w:type="dxa"/>
            <w:vAlign w:val="center"/>
          </w:tcPr>
          <w:p w14:paraId="41727B26" w14:textId="77777777" w:rsidR="00BC4281" w:rsidRDefault="00BC4281" w:rsidP="0063685B">
            <w:pPr>
              <w:keepNext/>
              <w:spacing w:after="0"/>
              <w:jc w:val="center"/>
            </w:pPr>
            <w:r>
              <w:t>4</w:t>
            </w:r>
          </w:p>
        </w:tc>
        <w:tc>
          <w:tcPr>
            <w:tcW w:w="2486" w:type="dxa"/>
            <w:gridSpan w:val="6"/>
            <w:vMerge/>
            <w:vAlign w:val="center"/>
          </w:tcPr>
          <w:p w14:paraId="5FEB30D4" w14:textId="77777777" w:rsidR="00BC4281" w:rsidRDefault="00BC4281" w:rsidP="0063685B">
            <w:pPr>
              <w:keepNext/>
              <w:spacing w:after="0"/>
              <w:jc w:val="center"/>
            </w:pPr>
          </w:p>
        </w:tc>
        <w:tc>
          <w:tcPr>
            <w:tcW w:w="925" w:type="dxa"/>
            <w:vAlign w:val="center"/>
          </w:tcPr>
          <w:p w14:paraId="5CBD0E8E" w14:textId="77777777" w:rsidR="00BC4281" w:rsidRDefault="00BC4281" w:rsidP="0063685B">
            <w:pPr>
              <w:keepNext/>
              <w:spacing w:after="0"/>
              <w:jc w:val="center"/>
            </w:pPr>
          </w:p>
        </w:tc>
        <w:tc>
          <w:tcPr>
            <w:tcW w:w="851" w:type="dxa"/>
            <w:vAlign w:val="center"/>
          </w:tcPr>
          <w:p w14:paraId="5BE439BF" w14:textId="77777777" w:rsidR="00BC4281" w:rsidRDefault="00BC4281" w:rsidP="0063685B">
            <w:pPr>
              <w:keepNext/>
              <w:spacing w:after="0"/>
              <w:jc w:val="center"/>
            </w:pPr>
          </w:p>
        </w:tc>
        <w:tc>
          <w:tcPr>
            <w:tcW w:w="708" w:type="dxa"/>
            <w:vAlign w:val="center"/>
          </w:tcPr>
          <w:p w14:paraId="5D883E42" w14:textId="77777777" w:rsidR="00BC4281" w:rsidRDefault="00BC4281" w:rsidP="0063685B">
            <w:pPr>
              <w:keepNext/>
              <w:spacing w:after="0"/>
              <w:jc w:val="center"/>
            </w:pPr>
          </w:p>
        </w:tc>
        <w:tc>
          <w:tcPr>
            <w:tcW w:w="1134" w:type="dxa"/>
            <w:vAlign w:val="center"/>
          </w:tcPr>
          <w:p w14:paraId="4EC95D11" w14:textId="77777777" w:rsidR="00BC4281" w:rsidRDefault="00BC4281" w:rsidP="0063685B">
            <w:pPr>
              <w:keepNext/>
              <w:spacing w:after="0"/>
              <w:jc w:val="center"/>
            </w:pPr>
          </w:p>
        </w:tc>
        <w:tc>
          <w:tcPr>
            <w:tcW w:w="993" w:type="dxa"/>
            <w:vAlign w:val="center"/>
          </w:tcPr>
          <w:p w14:paraId="1E042F04" w14:textId="77777777" w:rsidR="00BC4281" w:rsidRDefault="00BC4281" w:rsidP="0063685B">
            <w:pPr>
              <w:keepNext/>
              <w:spacing w:after="0"/>
              <w:jc w:val="center"/>
            </w:pPr>
          </w:p>
        </w:tc>
        <w:tc>
          <w:tcPr>
            <w:tcW w:w="993" w:type="dxa"/>
            <w:vAlign w:val="center"/>
          </w:tcPr>
          <w:p w14:paraId="218C7E21" w14:textId="77777777" w:rsidR="00BC4281" w:rsidRDefault="00BC4281" w:rsidP="0063685B">
            <w:pPr>
              <w:keepNext/>
              <w:spacing w:after="0"/>
              <w:jc w:val="center"/>
            </w:pPr>
          </w:p>
        </w:tc>
        <w:tc>
          <w:tcPr>
            <w:tcW w:w="992" w:type="dxa"/>
            <w:vAlign w:val="center"/>
          </w:tcPr>
          <w:p w14:paraId="25CF6B04" w14:textId="77777777" w:rsidR="00BC4281" w:rsidRDefault="00BC4281" w:rsidP="0063685B">
            <w:pPr>
              <w:keepNext/>
              <w:spacing w:after="0"/>
              <w:jc w:val="center"/>
            </w:pPr>
          </w:p>
        </w:tc>
      </w:tr>
      <w:tr w:rsidR="00BC4281" w14:paraId="7C9C571B" w14:textId="77777777" w:rsidTr="0063685B">
        <w:trPr>
          <w:trHeight w:val="57"/>
        </w:trPr>
        <w:tc>
          <w:tcPr>
            <w:tcW w:w="279" w:type="dxa"/>
            <w:vMerge/>
          </w:tcPr>
          <w:p w14:paraId="13294CF7" w14:textId="77777777" w:rsidR="00BC4281" w:rsidRDefault="00BC4281" w:rsidP="0063685B">
            <w:pPr>
              <w:keepNext/>
              <w:spacing w:after="0"/>
              <w:jc w:val="center"/>
            </w:pPr>
          </w:p>
        </w:tc>
        <w:tc>
          <w:tcPr>
            <w:tcW w:w="567" w:type="dxa"/>
            <w:vAlign w:val="center"/>
          </w:tcPr>
          <w:p w14:paraId="327A6BB5" w14:textId="77777777" w:rsidR="00BC4281" w:rsidRDefault="00BC4281" w:rsidP="0063685B">
            <w:pPr>
              <w:keepNext/>
              <w:spacing w:after="0"/>
              <w:jc w:val="center"/>
            </w:pPr>
            <w:r>
              <w:t>5</w:t>
            </w:r>
          </w:p>
        </w:tc>
        <w:tc>
          <w:tcPr>
            <w:tcW w:w="2486" w:type="dxa"/>
            <w:gridSpan w:val="6"/>
            <w:vMerge/>
            <w:vAlign w:val="center"/>
          </w:tcPr>
          <w:p w14:paraId="1D82DFA3" w14:textId="77777777" w:rsidR="00BC4281" w:rsidRDefault="00BC4281" w:rsidP="0063685B">
            <w:pPr>
              <w:keepNext/>
              <w:spacing w:after="0"/>
              <w:jc w:val="center"/>
            </w:pPr>
          </w:p>
        </w:tc>
        <w:tc>
          <w:tcPr>
            <w:tcW w:w="925" w:type="dxa"/>
            <w:vAlign w:val="center"/>
          </w:tcPr>
          <w:p w14:paraId="40CA44BC" w14:textId="77777777" w:rsidR="00BC4281" w:rsidRDefault="00BC4281" w:rsidP="0063685B">
            <w:pPr>
              <w:keepNext/>
              <w:spacing w:after="0"/>
              <w:jc w:val="center"/>
            </w:pPr>
          </w:p>
        </w:tc>
        <w:tc>
          <w:tcPr>
            <w:tcW w:w="851" w:type="dxa"/>
            <w:vAlign w:val="center"/>
          </w:tcPr>
          <w:p w14:paraId="2ABBB5F1" w14:textId="77777777" w:rsidR="00BC4281" w:rsidRDefault="00BC4281" w:rsidP="0063685B">
            <w:pPr>
              <w:keepNext/>
              <w:spacing w:after="0"/>
              <w:jc w:val="center"/>
            </w:pPr>
          </w:p>
        </w:tc>
        <w:tc>
          <w:tcPr>
            <w:tcW w:w="708" w:type="dxa"/>
            <w:vAlign w:val="center"/>
          </w:tcPr>
          <w:p w14:paraId="7E3FA9A0" w14:textId="77777777" w:rsidR="00BC4281" w:rsidRDefault="00BC4281" w:rsidP="0063685B">
            <w:pPr>
              <w:keepNext/>
              <w:spacing w:after="0"/>
              <w:jc w:val="center"/>
            </w:pPr>
          </w:p>
        </w:tc>
        <w:tc>
          <w:tcPr>
            <w:tcW w:w="1134" w:type="dxa"/>
            <w:vAlign w:val="center"/>
          </w:tcPr>
          <w:p w14:paraId="6B5B5F7A" w14:textId="77777777" w:rsidR="00BC4281" w:rsidRDefault="00BC4281" w:rsidP="0063685B">
            <w:pPr>
              <w:keepNext/>
              <w:spacing w:after="0"/>
              <w:jc w:val="center"/>
            </w:pPr>
          </w:p>
        </w:tc>
        <w:tc>
          <w:tcPr>
            <w:tcW w:w="993" w:type="dxa"/>
            <w:vAlign w:val="center"/>
          </w:tcPr>
          <w:p w14:paraId="2B6AAB01" w14:textId="77777777" w:rsidR="00BC4281" w:rsidRDefault="00BC4281" w:rsidP="0063685B">
            <w:pPr>
              <w:keepNext/>
              <w:spacing w:after="0"/>
              <w:jc w:val="center"/>
            </w:pPr>
          </w:p>
        </w:tc>
        <w:tc>
          <w:tcPr>
            <w:tcW w:w="993" w:type="dxa"/>
            <w:vAlign w:val="center"/>
          </w:tcPr>
          <w:p w14:paraId="362F1D8E" w14:textId="77777777" w:rsidR="00BC4281" w:rsidRDefault="00BC4281" w:rsidP="0063685B">
            <w:pPr>
              <w:keepNext/>
              <w:spacing w:after="0"/>
              <w:jc w:val="center"/>
            </w:pPr>
          </w:p>
        </w:tc>
        <w:tc>
          <w:tcPr>
            <w:tcW w:w="992" w:type="dxa"/>
            <w:vAlign w:val="center"/>
          </w:tcPr>
          <w:p w14:paraId="488DA268" w14:textId="77777777" w:rsidR="00BC4281" w:rsidRDefault="00BC4281" w:rsidP="0063685B">
            <w:pPr>
              <w:keepNext/>
              <w:spacing w:after="0"/>
              <w:jc w:val="center"/>
            </w:pPr>
          </w:p>
        </w:tc>
      </w:tr>
      <w:tr w:rsidR="00BC4281" w14:paraId="63448447" w14:textId="77777777" w:rsidTr="0063685B">
        <w:trPr>
          <w:trHeight w:val="57"/>
        </w:trPr>
        <w:tc>
          <w:tcPr>
            <w:tcW w:w="279" w:type="dxa"/>
            <w:vMerge/>
          </w:tcPr>
          <w:p w14:paraId="14C69328" w14:textId="77777777" w:rsidR="00BC4281" w:rsidRDefault="00BC4281" w:rsidP="0063685B">
            <w:pPr>
              <w:keepNext/>
              <w:spacing w:after="0"/>
              <w:jc w:val="center"/>
            </w:pPr>
          </w:p>
        </w:tc>
        <w:tc>
          <w:tcPr>
            <w:tcW w:w="567" w:type="dxa"/>
            <w:vAlign w:val="center"/>
          </w:tcPr>
          <w:p w14:paraId="2108322F" w14:textId="77777777" w:rsidR="00BC4281" w:rsidRDefault="00BC4281" w:rsidP="0063685B">
            <w:pPr>
              <w:keepNext/>
              <w:spacing w:after="0"/>
              <w:jc w:val="center"/>
            </w:pPr>
            <w:r>
              <w:t>6</w:t>
            </w:r>
          </w:p>
        </w:tc>
        <w:tc>
          <w:tcPr>
            <w:tcW w:w="2486" w:type="dxa"/>
            <w:gridSpan w:val="6"/>
            <w:vMerge/>
            <w:vAlign w:val="center"/>
          </w:tcPr>
          <w:p w14:paraId="527A07F2" w14:textId="77777777" w:rsidR="00BC4281" w:rsidRDefault="00BC4281" w:rsidP="0063685B">
            <w:pPr>
              <w:keepNext/>
              <w:spacing w:after="0"/>
              <w:jc w:val="center"/>
            </w:pPr>
          </w:p>
        </w:tc>
        <w:tc>
          <w:tcPr>
            <w:tcW w:w="925" w:type="dxa"/>
            <w:vAlign w:val="center"/>
          </w:tcPr>
          <w:p w14:paraId="2E8FA4B5" w14:textId="77777777" w:rsidR="00BC4281" w:rsidRDefault="00BC4281" w:rsidP="0063685B">
            <w:pPr>
              <w:keepNext/>
              <w:spacing w:after="0"/>
              <w:jc w:val="center"/>
            </w:pPr>
          </w:p>
        </w:tc>
        <w:tc>
          <w:tcPr>
            <w:tcW w:w="851" w:type="dxa"/>
            <w:vAlign w:val="center"/>
          </w:tcPr>
          <w:p w14:paraId="57AE8CC5" w14:textId="77777777" w:rsidR="00BC4281" w:rsidRDefault="00BC4281" w:rsidP="0063685B">
            <w:pPr>
              <w:keepNext/>
              <w:spacing w:after="0"/>
              <w:jc w:val="center"/>
            </w:pPr>
          </w:p>
        </w:tc>
        <w:tc>
          <w:tcPr>
            <w:tcW w:w="708" w:type="dxa"/>
            <w:vAlign w:val="center"/>
          </w:tcPr>
          <w:p w14:paraId="5E5B3350" w14:textId="77777777" w:rsidR="00BC4281" w:rsidRDefault="00BC4281" w:rsidP="0063685B">
            <w:pPr>
              <w:keepNext/>
              <w:spacing w:after="0"/>
              <w:jc w:val="center"/>
            </w:pPr>
          </w:p>
        </w:tc>
        <w:tc>
          <w:tcPr>
            <w:tcW w:w="1134" w:type="dxa"/>
            <w:vAlign w:val="center"/>
          </w:tcPr>
          <w:p w14:paraId="6BCC646B" w14:textId="77777777" w:rsidR="00BC4281" w:rsidRDefault="00BC4281" w:rsidP="0063685B">
            <w:pPr>
              <w:keepNext/>
              <w:spacing w:after="0"/>
              <w:jc w:val="center"/>
            </w:pPr>
          </w:p>
        </w:tc>
        <w:tc>
          <w:tcPr>
            <w:tcW w:w="993" w:type="dxa"/>
            <w:vAlign w:val="center"/>
          </w:tcPr>
          <w:p w14:paraId="1B354D57" w14:textId="77777777" w:rsidR="00BC4281" w:rsidRDefault="00BC4281" w:rsidP="0063685B">
            <w:pPr>
              <w:keepNext/>
              <w:spacing w:after="0"/>
              <w:jc w:val="center"/>
            </w:pPr>
          </w:p>
        </w:tc>
        <w:tc>
          <w:tcPr>
            <w:tcW w:w="993" w:type="dxa"/>
            <w:vAlign w:val="center"/>
          </w:tcPr>
          <w:p w14:paraId="66E4CECE" w14:textId="77777777" w:rsidR="00BC4281" w:rsidRDefault="00BC4281" w:rsidP="0063685B">
            <w:pPr>
              <w:keepNext/>
              <w:spacing w:after="0"/>
              <w:jc w:val="center"/>
            </w:pPr>
          </w:p>
        </w:tc>
        <w:tc>
          <w:tcPr>
            <w:tcW w:w="992" w:type="dxa"/>
            <w:vAlign w:val="center"/>
          </w:tcPr>
          <w:p w14:paraId="72DEAA9F" w14:textId="77777777" w:rsidR="00BC4281" w:rsidRDefault="00BC4281" w:rsidP="0063685B">
            <w:pPr>
              <w:keepNext/>
              <w:spacing w:after="0"/>
              <w:jc w:val="center"/>
            </w:pPr>
          </w:p>
        </w:tc>
      </w:tr>
      <w:tr w:rsidR="00BC4281" w14:paraId="0387080B" w14:textId="77777777" w:rsidTr="0063685B">
        <w:trPr>
          <w:trHeight w:val="57"/>
        </w:trPr>
        <w:tc>
          <w:tcPr>
            <w:tcW w:w="279" w:type="dxa"/>
            <w:vMerge/>
          </w:tcPr>
          <w:p w14:paraId="569394FF" w14:textId="77777777" w:rsidR="00BC4281" w:rsidRDefault="00BC4281" w:rsidP="0063685B">
            <w:pPr>
              <w:keepNext/>
              <w:spacing w:after="0"/>
              <w:jc w:val="center"/>
            </w:pPr>
          </w:p>
        </w:tc>
        <w:tc>
          <w:tcPr>
            <w:tcW w:w="567" w:type="dxa"/>
            <w:vAlign w:val="center"/>
          </w:tcPr>
          <w:p w14:paraId="76C7E87B" w14:textId="77777777" w:rsidR="00BC4281" w:rsidRDefault="00BC4281" w:rsidP="0063685B">
            <w:pPr>
              <w:keepNext/>
              <w:spacing w:after="0"/>
              <w:jc w:val="center"/>
            </w:pPr>
            <w:r>
              <w:t>…</w:t>
            </w:r>
          </w:p>
        </w:tc>
        <w:tc>
          <w:tcPr>
            <w:tcW w:w="2486" w:type="dxa"/>
            <w:gridSpan w:val="6"/>
            <w:vMerge/>
            <w:vAlign w:val="center"/>
          </w:tcPr>
          <w:p w14:paraId="6E2E9B76" w14:textId="77777777" w:rsidR="00BC4281" w:rsidRDefault="00BC4281" w:rsidP="0063685B">
            <w:pPr>
              <w:keepNext/>
              <w:spacing w:after="0"/>
              <w:jc w:val="center"/>
            </w:pPr>
          </w:p>
        </w:tc>
        <w:tc>
          <w:tcPr>
            <w:tcW w:w="925" w:type="dxa"/>
            <w:vAlign w:val="center"/>
          </w:tcPr>
          <w:p w14:paraId="0D0EE38C" w14:textId="77777777" w:rsidR="00BC4281" w:rsidRDefault="00BC4281" w:rsidP="0063685B">
            <w:pPr>
              <w:keepNext/>
              <w:spacing w:after="0"/>
              <w:jc w:val="center"/>
            </w:pPr>
          </w:p>
        </w:tc>
        <w:tc>
          <w:tcPr>
            <w:tcW w:w="851" w:type="dxa"/>
            <w:vAlign w:val="center"/>
          </w:tcPr>
          <w:p w14:paraId="0F3C3812" w14:textId="77777777" w:rsidR="00BC4281" w:rsidRDefault="00BC4281" w:rsidP="0063685B">
            <w:pPr>
              <w:keepNext/>
              <w:spacing w:after="0"/>
              <w:jc w:val="center"/>
            </w:pPr>
          </w:p>
        </w:tc>
        <w:tc>
          <w:tcPr>
            <w:tcW w:w="708" w:type="dxa"/>
            <w:vAlign w:val="center"/>
          </w:tcPr>
          <w:p w14:paraId="143FC596" w14:textId="77777777" w:rsidR="00BC4281" w:rsidRDefault="00BC4281" w:rsidP="0063685B">
            <w:pPr>
              <w:keepNext/>
              <w:spacing w:after="0"/>
              <w:jc w:val="center"/>
            </w:pPr>
          </w:p>
        </w:tc>
        <w:tc>
          <w:tcPr>
            <w:tcW w:w="1134" w:type="dxa"/>
            <w:vAlign w:val="center"/>
          </w:tcPr>
          <w:p w14:paraId="6D8BC410" w14:textId="77777777" w:rsidR="00BC4281" w:rsidRDefault="00BC4281" w:rsidP="0063685B">
            <w:pPr>
              <w:keepNext/>
              <w:spacing w:after="0"/>
              <w:jc w:val="center"/>
            </w:pPr>
          </w:p>
        </w:tc>
        <w:tc>
          <w:tcPr>
            <w:tcW w:w="993" w:type="dxa"/>
            <w:vAlign w:val="center"/>
          </w:tcPr>
          <w:p w14:paraId="25ED78F9" w14:textId="77777777" w:rsidR="00BC4281" w:rsidRDefault="00BC4281" w:rsidP="0063685B">
            <w:pPr>
              <w:keepNext/>
              <w:spacing w:after="0"/>
              <w:jc w:val="center"/>
            </w:pPr>
          </w:p>
        </w:tc>
        <w:tc>
          <w:tcPr>
            <w:tcW w:w="993" w:type="dxa"/>
            <w:vAlign w:val="center"/>
          </w:tcPr>
          <w:p w14:paraId="2246B64F" w14:textId="77777777" w:rsidR="00BC4281" w:rsidRDefault="00BC4281" w:rsidP="0063685B">
            <w:pPr>
              <w:keepNext/>
              <w:spacing w:after="0"/>
              <w:jc w:val="center"/>
            </w:pPr>
          </w:p>
        </w:tc>
        <w:tc>
          <w:tcPr>
            <w:tcW w:w="992" w:type="dxa"/>
            <w:vAlign w:val="center"/>
          </w:tcPr>
          <w:p w14:paraId="0DCCC3FA" w14:textId="77777777" w:rsidR="00BC4281" w:rsidRDefault="00BC4281" w:rsidP="0063685B">
            <w:pPr>
              <w:keepNext/>
              <w:spacing w:after="0"/>
              <w:jc w:val="center"/>
            </w:pPr>
          </w:p>
        </w:tc>
      </w:tr>
      <w:tr w:rsidR="00BC4281" w14:paraId="4F2B909C" w14:textId="77777777" w:rsidTr="0063685B">
        <w:trPr>
          <w:trHeight w:val="57"/>
        </w:trPr>
        <w:tc>
          <w:tcPr>
            <w:tcW w:w="279" w:type="dxa"/>
            <w:vMerge/>
            <w:tcBorders>
              <w:bottom w:val="single" w:sz="4" w:space="0" w:color="auto"/>
            </w:tcBorders>
          </w:tcPr>
          <w:p w14:paraId="6E4C46A4" w14:textId="77777777" w:rsidR="00BC4281" w:rsidRDefault="00BC4281" w:rsidP="0063685B">
            <w:pPr>
              <w:keepNext/>
              <w:spacing w:after="0"/>
              <w:jc w:val="center"/>
            </w:pPr>
          </w:p>
        </w:tc>
        <w:tc>
          <w:tcPr>
            <w:tcW w:w="567" w:type="dxa"/>
            <w:vAlign w:val="center"/>
          </w:tcPr>
          <w:p w14:paraId="7F3EE7B4" w14:textId="77777777" w:rsidR="00BC4281" w:rsidRDefault="00BC4281" w:rsidP="0063685B">
            <w:pPr>
              <w:keepNext/>
              <w:spacing w:after="0"/>
              <w:jc w:val="center"/>
            </w:pPr>
            <w:r>
              <w:t>m</w:t>
            </w:r>
          </w:p>
        </w:tc>
        <w:tc>
          <w:tcPr>
            <w:tcW w:w="2486" w:type="dxa"/>
            <w:gridSpan w:val="6"/>
            <w:vMerge/>
            <w:vAlign w:val="center"/>
          </w:tcPr>
          <w:p w14:paraId="2B4BD469" w14:textId="77777777" w:rsidR="00BC4281" w:rsidRDefault="00BC4281" w:rsidP="0063685B">
            <w:pPr>
              <w:keepNext/>
              <w:spacing w:after="0"/>
              <w:jc w:val="center"/>
            </w:pPr>
          </w:p>
        </w:tc>
        <w:tc>
          <w:tcPr>
            <w:tcW w:w="925" w:type="dxa"/>
            <w:vAlign w:val="center"/>
          </w:tcPr>
          <w:p w14:paraId="172088E7" w14:textId="77777777" w:rsidR="00BC4281" w:rsidRDefault="00BC4281" w:rsidP="0063685B">
            <w:pPr>
              <w:keepNext/>
              <w:spacing w:after="0"/>
              <w:jc w:val="center"/>
            </w:pPr>
          </w:p>
        </w:tc>
        <w:tc>
          <w:tcPr>
            <w:tcW w:w="851" w:type="dxa"/>
            <w:vAlign w:val="center"/>
          </w:tcPr>
          <w:p w14:paraId="5630C7B4" w14:textId="77777777" w:rsidR="00BC4281" w:rsidRDefault="00BC4281" w:rsidP="0063685B">
            <w:pPr>
              <w:keepNext/>
              <w:spacing w:after="0"/>
              <w:jc w:val="center"/>
            </w:pPr>
          </w:p>
        </w:tc>
        <w:tc>
          <w:tcPr>
            <w:tcW w:w="708" w:type="dxa"/>
            <w:vAlign w:val="center"/>
          </w:tcPr>
          <w:p w14:paraId="286A30AA" w14:textId="77777777" w:rsidR="00BC4281" w:rsidRDefault="00BC4281" w:rsidP="0063685B">
            <w:pPr>
              <w:keepNext/>
              <w:spacing w:after="0"/>
              <w:jc w:val="center"/>
            </w:pPr>
          </w:p>
        </w:tc>
        <w:tc>
          <w:tcPr>
            <w:tcW w:w="1134" w:type="dxa"/>
            <w:vAlign w:val="center"/>
          </w:tcPr>
          <w:p w14:paraId="0CD9AF4B" w14:textId="77777777" w:rsidR="00BC4281" w:rsidRDefault="00BC4281" w:rsidP="0063685B">
            <w:pPr>
              <w:keepNext/>
              <w:spacing w:after="0"/>
              <w:jc w:val="center"/>
            </w:pPr>
          </w:p>
        </w:tc>
        <w:tc>
          <w:tcPr>
            <w:tcW w:w="993" w:type="dxa"/>
            <w:vAlign w:val="center"/>
          </w:tcPr>
          <w:p w14:paraId="1626994E" w14:textId="77777777" w:rsidR="00BC4281" w:rsidRDefault="00BC4281" w:rsidP="0063685B">
            <w:pPr>
              <w:keepNext/>
              <w:spacing w:after="0"/>
              <w:jc w:val="center"/>
            </w:pPr>
          </w:p>
        </w:tc>
        <w:tc>
          <w:tcPr>
            <w:tcW w:w="993" w:type="dxa"/>
            <w:vAlign w:val="center"/>
          </w:tcPr>
          <w:p w14:paraId="61D3FCA2" w14:textId="77777777" w:rsidR="00BC4281" w:rsidRDefault="00BC4281" w:rsidP="0063685B">
            <w:pPr>
              <w:keepNext/>
              <w:spacing w:after="0"/>
              <w:jc w:val="center"/>
            </w:pPr>
          </w:p>
        </w:tc>
        <w:tc>
          <w:tcPr>
            <w:tcW w:w="992" w:type="dxa"/>
            <w:vAlign w:val="center"/>
          </w:tcPr>
          <w:p w14:paraId="1C8FAEA4" w14:textId="77777777" w:rsidR="00BC4281" w:rsidRDefault="00BC4281" w:rsidP="0063685B">
            <w:pPr>
              <w:keepNext/>
              <w:spacing w:after="0"/>
              <w:jc w:val="center"/>
            </w:pPr>
          </w:p>
        </w:tc>
      </w:tr>
      <w:tr w:rsidR="00BC4281" w14:paraId="77E35274" w14:textId="77777777" w:rsidTr="0063685B">
        <w:trPr>
          <w:trHeight w:val="57"/>
        </w:trPr>
        <w:tc>
          <w:tcPr>
            <w:tcW w:w="279" w:type="dxa"/>
            <w:tcBorders>
              <w:left w:val="nil"/>
              <w:bottom w:val="nil"/>
            </w:tcBorders>
          </w:tcPr>
          <w:p w14:paraId="55579201" w14:textId="77777777" w:rsidR="00BC4281" w:rsidRDefault="00BC4281" w:rsidP="0063685B">
            <w:pPr>
              <w:keepNext/>
              <w:spacing w:after="0"/>
              <w:jc w:val="center"/>
            </w:pPr>
          </w:p>
        </w:tc>
        <w:tc>
          <w:tcPr>
            <w:tcW w:w="567" w:type="dxa"/>
            <w:vAlign w:val="center"/>
          </w:tcPr>
          <w:p w14:paraId="1B890855" w14:textId="77777777" w:rsidR="00BC4281" w:rsidRDefault="00BC4281" w:rsidP="0063685B">
            <w:pPr>
              <w:keepNext/>
              <w:spacing w:after="0"/>
              <w:jc w:val="center"/>
            </w:pPr>
          </w:p>
        </w:tc>
        <w:tc>
          <w:tcPr>
            <w:tcW w:w="2486" w:type="dxa"/>
            <w:gridSpan w:val="6"/>
            <w:vAlign w:val="center"/>
          </w:tcPr>
          <w:p w14:paraId="731161CB" w14:textId="77777777" w:rsidR="00BC4281" w:rsidRPr="00F01ADE" w:rsidRDefault="00BC4281" w:rsidP="0063685B">
            <w:pPr>
              <w:keepNext/>
              <w:spacing w:after="0"/>
              <w:jc w:val="center"/>
              <w:rPr>
                <w:sz w:val="16"/>
                <w:szCs w:val="16"/>
                <w:lang w:val="es-ES"/>
              </w:rPr>
            </w:pPr>
            <w:r w:rsidRPr="00F01ADE">
              <w:rPr>
                <w:sz w:val="16"/>
                <w:szCs w:val="16"/>
                <w:lang w:val="es-ES"/>
              </w:rPr>
              <w:t>Consumo intermedio por ramas de actividad</w:t>
            </w:r>
          </w:p>
        </w:tc>
        <w:tc>
          <w:tcPr>
            <w:tcW w:w="925" w:type="dxa"/>
            <w:tcBorders>
              <w:bottom w:val="single" w:sz="4" w:space="0" w:color="auto"/>
            </w:tcBorders>
            <w:vAlign w:val="center"/>
          </w:tcPr>
          <w:p w14:paraId="7CE19C6F" w14:textId="77777777" w:rsidR="00BC4281" w:rsidRPr="005F5A7A" w:rsidRDefault="00BC4281" w:rsidP="0063685B">
            <w:pPr>
              <w:keepNext/>
              <w:spacing w:after="0"/>
              <w:jc w:val="center"/>
              <w:rPr>
                <w:sz w:val="16"/>
                <w:szCs w:val="16"/>
              </w:rPr>
            </w:pPr>
            <w:proofErr w:type="spellStart"/>
            <w:r>
              <w:rPr>
                <w:sz w:val="16"/>
                <w:szCs w:val="16"/>
              </w:rPr>
              <w:t>Consumos</w:t>
            </w:r>
            <w:proofErr w:type="spellEnd"/>
            <w:r>
              <w:rPr>
                <w:sz w:val="16"/>
                <w:szCs w:val="16"/>
              </w:rPr>
              <w:t xml:space="preserve"> </w:t>
            </w:r>
            <w:proofErr w:type="spellStart"/>
            <w:r>
              <w:rPr>
                <w:sz w:val="16"/>
                <w:szCs w:val="16"/>
              </w:rPr>
              <w:t>intermedios</w:t>
            </w:r>
            <w:proofErr w:type="spellEnd"/>
          </w:p>
        </w:tc>
        <w:tc>
          <w:tcPr>
            <w:tcW w:w="850" w:type="dxa"/>
            <w:tcBorders>
              <w:bottom w:val="single" w:sz="4" w:space="0" w:color="auto"/>
            </w:tcBorders>
            <w:vAlign w:val="center"/>
          </w:tcPr>
          <w:p w14:paraId="763B398B" w14:textId="77777777" w:rsidR="00BC4281" w:rsidRPr="005F5A7A" w:rsidRDefault="00BC4281" w:rsidP="0063685B">
            <w:pPr>
              <w:keepNext/>
              <w:spacing w:after="0"/>
              <w:jc w:val="center"/>
              <w:rPr>
                <w:sz w:val="16"/>
                <w:szCs w:val="16"/>
              </w:rPr>
            </w:pPr>
            <w:proofErr w:type="spellStart"/>
            <w:r w:rsidRPr="00BE1D0C">
              <w:rPr>
                <w:sz w:val="14"/>
                <w:szCs w:val="18"/>
              </w:rPr>
              <w:t>Consumo</w:t>
            </w:r>
            <w:proofErr w:type="spellEnd"/>
            <w:r w:rsidRPr="00BE1D0C">
              <w:rPr>
                <w:sz w:val="14"/>
                <w:szCs w:val="18"/>
              </w:rPr>
              <w:t xml:space="preserve"> individual</w:t>
            </w:r>
          </w:p>
        </w:tc>
        <w:tc>
          <w:tcPr>
            <w:tcW w:w="709" w:type="dxa"/>
            <w:tcBorders>
              <w:bottom w:val="single" w:sz="4" w:space="0" w:color="auto"/>
            </w:tcBorders>
            <w:vAlign w:val="center"/>
          </w:tcPr>
          <w:p w14:paraId="591B8700" w14:textId="77777777" w:rsidR="00BC4281" w:rsidRPr="005F5A7A" w:rsidRDefault="00BC4281" w:rsidP="0063685B">
            <w:pPr>
              <w:keepNext/>
              <w:spacing w:after="0"/>
              <w:jc w:val="center"/>
              <w:rPr>
                <w:sz w:val="16"/>
                <w:szCs w:val="16"/>
              </w:rPr>
            </w:pPr>
            <w:proofErr w:type="spellStart"/>
            <w:r w:rsidRPr="00BE1D0C">
              <w:rPr>
                <w:sz w:val="14"/>
                <w:szCs w:val="18"/>
              </w:rPr>
              <w:t>Consumo</w:t>
            </w:r>
            <w:proofErr w:type="spellEnd"/>
            <w:r w:rsidRPr="00BE1D0C">
              <w:rPr>
                <w:sz w:val="14"/>
                <w:szCs w:val="18"/>
              </w:rPr>
              <w:t xml:space="preserve"> colectivo</w:t>
            </w:r>
          </w:p>
        </w:tc>
        <w:tc>
          <w:tcPr>
            <w:tcW w:w="1134" w:type="dxa"/>
            <w:tcBorders>
              <w:bottom w:val="single" w:sz="4" w:space="0" w:color="auto"/>
            </w:tcBorders>
            <w:vAlign w:val="center"/>
          </w:tcPr>
          <w:p w14:paraId="1016EE6F" w14:textId="77777777" w:rsidR="00BC4281" w:rsidRPr="005F5A7A" w:rsidRDefault="00BC4281" w:rsidP="0063685B">
            <w:pPr>
              <w:keepNext/>
              <w:spacing w:after="0"/>
              <w:jc w:val="center"/>
              <w:rPr>
                <w:sz w:val="16"/>
                <w:szCs w:val="16"/>
              </w:rPr>
            </w:pPr>
            <w:proofErr w:type="spellStart"/>
            <w:r w:rsidRPr="00BE1D0C">
              <w:rPr>
                <w:sz w:val="14"/>
                <w:szCs w:val="18"/>
              </w:rPr>
              <w:t>Formación</w:t>
            </w:r>
            <w:proofErr w:type="spellEnd"/>
            <w:r w:rsidRPr="00BE1D0C">
              <w:rPr>
                <w:sz w:val="14"/>
                <w:szCs w:val="18"/>
              </w:rPr>
              <w:t xml:space="preserve"> </w:t>
            </w:r>
            <w:proofErr w:type="spellStart"/>
            <w:r w:rsidRPr="00BE1D0C">
              <w:rPr>
                <w:sz w:val="14"/>
                <w:szCs w:val="18"/>
              </w:rPr>
              <w:t>bruta</w:t>
            </w:r>
            <w:proofErr w:type="spellEnd"/>
            <w:r w:rsidRPr="00BE1D0C">
              <w:rPr>
                <w:sz w:val="14"/>
                <w:szCs w:val="18"/>
              </w:rPr>
              <w:t xml:space="preserve"> de capital</w:t>
            </w:r>
          </w:p>
        </w:tc>
        <w:tc>
          <w:tcPr>
            <w:tcW w:w="992" w:type="dxa"/>
            <w:tcBorders>
              <w:bottom w:val="single" w:sz="4" w:space="0" w:color="auto"/>
            </w:tcBorders>
            <w:vAlign w:val="center"/>
          </w:tcPr>
          <w:p w14:paraId="5AC5CD39" w14:textId="77777777" w:rsidR="00BC4281" w:rsidRPr="005F5A7A" w:rsidRDefault="00BC4281" w:rsidP="0063685B">
            <w:pPr>
              <w:keepNext/>
              <w:spacing w:after="0"/>
              <w:jc w:val="center"/>
              <w:rPr>
                <w:sz w:val="16"/>
                <w:szCs w:val="16"/>
              </w:rPr>
            </w:pPr>
            <w:proofErr w:type="spellStart"/>
            <w:r w:rsidRPr="00BE1D0C">
              <w:rPr>
                <w:sz w:val="14"/>
                <w:szCs w:val="18"/>
              </w:rPr>
              <w:t>Exportaciones</w:t>
            </w:r>
            <w:proofErr w:type="spellEnd"/>
          </w:p>
        </w:tc>
        <w:tc>
          <w:tcPr>
            <w:tcW w:w="993" w:type="dxa"/>
            <w:tcBorders>
              <w:bottom w:val="single" w:sz="4" w:space="0" w:color="auto"/>
            </w:tcBorders>
            <w:vAlign w:val="center"/>
          </w:tcPr>
          <w:p w14:paraId="715EE6AF" w14:textId="77777777" w:rsidR="00BC4281" w:rsidRPr="005F5A7A" w:rsidRDefault="00BC4281" w:rsidP="0063685B">
            <w:pPr>
              <w:keepNext/>
              <w:spacing w:after="0"/>
              <w:jc w:val="center"/>
              <w:rPr>
                <w:sz w:val="16"/>
                <w:szCs w:val="16"/>
              </w:rPr>
            </w:pPr>
            <w:proofErr w:type="spellStart"/>
            <w:r>
              <w:rPr>
                <w:sz w:val="16"/>
                <w:szCs w:val="16"/>
              </w:rPr>
              <w:t>Demanda</w:t>
            </w:r>
            <w:proofErr w:type="spellEnd"/>
            <w:r>
              <w:rPr>
                <w:sz w:val="16"/>
                <w:szCs w:val="16"/>
              </w:rPr>
              <w:t xml:space="preserve"> final</w:t>
            </w:r>
          </w:p>
        </w:tc>
        <w:tc>
          <w:tcPr>
            <w:tcW w:w="992" w:type="dxa"/>
            <w:tcBorders>
              <w:bottom w:val="single" w:sz="4" w:space="0" w:color="auto"/>
            </w:tcBorders>
            <w:vAlign w:val="center"/>
          </w:tcPr>
          <w:p w14:paraId="60C4C5C0" w14:textId="77777777" w:rsidR="00BC4281" w:rsidRPr="005F5A7A" w:rsidRDefault="00BC4281" w:rsidP="0063685B">
            <w:pPr>
              <w:keepNext/>
              <w:spacing w:after="0"/>
              <w:jc w:val="center"/>
              <w:rPr>
                <w:sz w:val="16"/>
                <w:szCs w:val="16"/>
              </w:rPr>
            </w:pPr>
            <w:r>
              <w:rPr>
                <w:sz w:val="16"/>
                <w:szCs w:val="16"/>
              </w:rPr>
              <w:t xml:space="preserve">Total </w:t>
            </w:r>
            <w:proofErr w:type="spellStart"/>
            <w:r>
              <w:rPr>
                <w:sz w:val="16"/>
                <w:szCs w:val="16"/>
              </w:rPr>
              <w:t>empleos</w:t>
            </w:r>
            <w:proofErr w:type="spellEnd"/>
          </w:p>
        </w:tc>
      </w:tr>
      <w:tr w:rsidR="00BC4281" w14:paraId="6B2796E9" w14:textId="77777777" w:rsidTr="0063685B">
        <w:trPr>
          <w:trHeight w:val="57"/>
        </w:trPr>
        <w:tc>
          <w:tcPr>
            <w:tcW w:w="279" w:type="dxa"/>
            <w:tcBorders>
              <w:top w:val="nil"/>
              <w:left w:val="nil"/>
              <w:bottom w:val="nil"/>
            </w:tcBorders>
          </w:tcPr>
          <w:p w14:paraId="66DF2812" w14:textId="77777777" w:rsidR="00BC4281" w:rsidRDefault="00BC4281" w:rsidP="0063685B">
            <w:pPr>
              <w:keepNext/>
              <w:spacing w:after="0"/>
              <w:jc w:val="center"/>
            </w:pPr>
          </w:p>
        </w:tc>
        <w:tc>
          <w:tcPr>
            <w:tcW w:w="567" w:type="dxa"/>
            <w:vAlign w:val="center"/>
          </w:tcPr>
          <w:p w14:paraId="1A11252A" w14:textId="77777777" w:rsidR="00BC4281" w:rsidRDefault="00BC4281" w:rsidP="0063685B">
            <w:pPr>
              <w:keepNext/>
              <w:spacing w:after="0"/>
              <w:jc w:val="center"/>
            </w:pPr>
            <w:r>
              <w:t>W</w:t>
            </w:r>
          </w:p>
        </w:tc>
        <w:tc>
          <w:tcPr>
            <w:tcW w:w="2486" w:type="dxa"/>
            <w:gridSpan w:val="6"/>
            <w:vAlign w:val="center"/>
          </w:tcPr>
          <w:p w14:paraId="1ECB81F2" w14:textId="77777777" w:rsidR="00BC4281" w:rsidRDefault="00BC4281" w:rsidP="0063685B">
            <w:pPr>
              <w:keepNext/>
              <w:spacing w:after="0"/>
              <w:jc w:val="left"/>
              <w:rPr>
                <w:sz w:val="16"/>
                <w:szCs w:val="16"/>
              </w:rPr>
            </w:pPr>
            <w:proofErr w:type="spellStart"/>
            <w:r>
              <w:rPr>
                <w:sz w:val="16"/>
                <w:szCs w:val="16"/>
              </w:rPr>
              <w:t>Salarios</w:t>
            </w:r>
            <w:proofErr w:type="spellEnd"/>
          </w:p>
        </w:tc>
        <w:tc>
          <w:tcPr>
            <w:tcW w:w="6596" w:type="dxa"/>
            <w:gridSpan w:val="7"/>
            <w:vMerge w:val="restart"/>
            <w:tcBorders>
              <w:bottom w:val="nil"/>
              <w:right w:val="nil"/>
            </w:tcBorders>
            <w:vAlign w:val="center"/>
          </w:tcPr>
          <w:p w14:paraId="0044D18C" w14:textId="77777777" w:rsidR="00BC4281" w:rsidRDefault="00BC4281" w:rsidP="0063685B">
            <w:pPr>
              <w:keepNext/>
              <w:spacing w:after="0"/>
              <w:jc w:val="center"/>
              <w:rPr>
                <w:sz w:val="16"/>
                <w:szCs w:val="16"/>
              </w:rPr>
            </w:pPr>
          </w:p>
        </w:tc>
      </w:tr>
      <w:tr w:rsidR="00BC4281" w14:paraId="5E84F746" w14:textId="77777777" w:rsidTr="0063685B">
        <w:trPr>
          <w:trHeight w:val="57"/>
        </w:trPr>
        <w:tc>
          <w:tcPr>
            <w:tcW w:w="279" w:type="dxa"/>
            <w:tcBorders>
              <w:top w:val="nil"/>
              <w:left w:val="nil"/>
              <w:bottom w:val="nil"/>
            </w:tcBorders>
          </w:tcPr>
          <w:p w14:paraId="68D56B8B" w14:textId="77777777" w:rsidR="00BC4281" w:rsidRDefault="00BC4281" w:rsidP="0063685B">
            <w:pPr>
              <w:keepNext/>
              <w:spacing w:after="0"/>
              <w:jc w:val="center"/>
            </w:pPr>
          </w:p>
        </w:tc>
        <w:tc>
          <w:tcPr>
            <w:tcW w:w="567" w:type="dxa"/>
            <w:vAlign w:val="center"/>
          </w:tcPr>
          <w:p w14:paraId="5E8BA84F" w14:textId="77777777" w:rsidR="00BC4281" w:rsidRDefault="00BC4281" w:rsidP="0063685B">
            <w:pPr>
              <w:keepNext/>
              <w:spacing w:after="0"/>
              <w:jc w:val="center"/>
            </w:pPr>
            <w:r>
              <w:t>O/P</w:t>
            </w:r>
          </w:p>
        </w:tc>
        <w:tc>
          <w:tcPr>
            <w:tcW w:w="2486" w:type="dxa"/>
            <w:gridSpan w:val="6"/>
            <w:vAlign w:val="center"/>
          </w:tcPr>
          <w:p w14:paraId="2EC4BF5C" w14:textId="77777777" w:rsidR="00BC4281" w:rsidRPr="00F01ADE" w:rsidRDefault="00BC4281" w:rsidP="0063685B">
            <w:pPr>
              <w:keepNext/>
              <w:spacing w:after="0"/>
              <w:jc w:val="left"/>
              <w:rPr>
                <w:sz w:val="16"/>
                <w:szCs w:val="16"/>
                <w:lang w:val="es-ES"/>
              </w:rPr>
            </w:pPr>
            <w:r w:rsidRPr="00F01ADE">
              <w:rPr>
                <w:sz w:val="16"/>
                <w:szCs w:val="16"/>
                <w:lang w:val="es-ES"/>
              </w:rPr>
              <w:t>Otros impuestos sobre la producción</w:t>
            </w:r>
          </w:p>
        </w:tc>
        <w:tc>
          <w:tcPr>
            <w:tcW w:w="6596" w:type="dxa"/>
            <w:gridSpan w:val="7"/>
            <w:vMerge/>
            <w:tcBorders>
              <w:bottom w:val="nil"/>
              <w:right w:val="nil"/>
            </w:tcBorders>
            <w:vAlign w:val="center"/>
          </w:tcPr>
          <w:p w14:paraId="4CEDEC09" w14:textId="77777777" w:rsidR="00BC4281" w:rsidRPr="00F01ADE" w:rsidRDefault="00BC4281" w:rsidP="0063685B">
            <w:pPr>
              <w:keepNext/>
              <w:spacing w:after="0"/>
              <w:jc w:val="center"/>
              <w:rPr>
                <w:sz w:val="16"/>
                <w:szCs w:val="16"/>
                <w:lang w:val="es-ES"/>
              </w:rPr>
            </w:pPr>
          </w:p>
        </w:tc>
      </w:tr>
      <w:tr w:rsidR="00BC4281" w14:paraId="72985EBA" w14:textId="77777777" w:rsidTr="0063685B">
        <w:trPr>
          <w:trHeight w:val="57"/>
        </w:trPr>
        <w:tc>
          <w:tcPr>
            <w:tcW w:w="279" w:type="dxa"/>
            <w:tcBorders>
              <w:top w:val="nil"/>
              <w:left w:val="nil"/>
              <w:bottom w:val="nil"/>
            </w:tcBorders>
          </w:tcPr>
          <w:p w14:paraId="2E0F28C0" w14:textId="77777777" w:rsidR="00BC4281" w:rsidRPr="00F01ADE" w:rsidRDefault="00BC4281" w:rsidP="0063685B">
            <w:pPr>
              <w:keepNext/>
              <w:spacing w:after="0"/>
              <w:jc w:val="center"/>
              <w:rPr>
                <w:lang w:val="es-ES"/>
              </w:rPr>
            </w:pPr>
          </w:p>
        </w:tc>
        <w:tc>
          <w:tcPr>
            <w:tcW w:w="567" w:type="dxa"/>
            <w:vAlign w:val="center"/>
          </w:tcPr>
          <w:p w14:paraId="169B0BF1" w14:textId="77777777" w:rsidR="00BC4281" w:rsidRDefault="00BC4281" w:rsidP="0063685B">
            <w:pPr>
              <w:keepNext/>
              <w:spacing w:after="0"/>
              <w:jc w:val="center"/>
            </w:pPr>
            <w:r>
              <w:t>EBE</w:t>
            </w:r>
          </w:p>
        </w:tc>
        <w:tc>
          <w:tcPr>
            <w:tcW w:w="2486" w:type="dxa"/>
            <w:gridSpan w:val="6"/>
            <w:vAlign w:val="center"/>
          </w:tcPr>
          <w:p w14:paraId="5525ED3F" w14:textId="77777777" w:rsidR="00BC4281" w:rsidRDefault="00BC4281" w:rsidP="0063685B">
            <w:pPr>
              <w:keepNext/>
              <w:spacing w:after="0"/>
              <w:jc w:val="left"/>
              <w:rPr>
                <w:sz w:val="16"/>
                <w:szCs w:val="16"/>
              </w:rPr>
            </w:pPr>
            <w:proofErr w:type="spellStart"/>
            <w:r>
              <w:rPr>
                <w:sz w:val="16"/>
                <w:szCs w:val="16"/>
              </w:rPr>
              <w:t>Excedente</w:t>
            </w:r>
            <w:proofErr w:type="spellEnd"/>
            <w:r>
              <w:rPr>
                <w:sz w:val="16"/>
                <w:szCs w:val="16"/>
              </w:rPr>
              <w:t xml:space="preserve"> Bruto de </w:t>
            </w:r>
            <w:proofErr w:type="spellStart"/>
            <w:r>
              <w:rPr>
                <w:sz w:val="16"/>
                <w:szCs w:val="16"/>
              </w:rPr>
              <w:t>Explotación</w:t>
            </w:r>
            <w:proofErr w:type="spellEnd"/>
          </w:p>
        </w:tc>
        <w:tc>
          <w:tcPr>
            <w:tcW w:w="6596" w:type="dxa"/>
            <w:gridSpan w:val="7"/>
            <w:vMerge/>
            <w:tcBorders>
              <w:bottom w:val="nil"/>
              <w:right w:val="nil"/>
            </w:tcBorders>
            <w:vAlign w:val="center"/>
          </w:tcPr>
          <w:p w14:paraId="2B0B7BC8" w14:textId="77777777" w:rsidR="00BC4281" w:rsidRDefault="00BC4281" w:rsidP="0063685B">
            <w:pPr>
              <w:keepNext/>
              <w:spacing w:after="0"/>
              <w:jc w:val="center"/>
              <w:rPr>
                <w:sz w:val="16"/>
                <w:szCs w:val="16"/>
              </w:rPr>
            </w:pPr>
          </w:p>
        </w:tc>
      </w:tr>
      <w:tr w:rsidR="00BC4281" w14:paraId="0436777A" w14:textId="77777777" w:rsidTr="0063685B">
        <w:trPr>
          <w:trHeight w:val="57"/>
        </w:trPr>
        <w:tc>
          <w:tcPr>
            <w:tcW w:w="279" w:type="dxa"/>
            <w:tcBorders>
              <w:top w:val="nil"/>
              <w:left w:val="nil"/>
              <w:bottom w:val="nil"/>
            </w:tcBorders>
          </w:tcPr>
          <w:p w14:paraId="5A76F2D1" w14:textId="77777777" w:rsidR="00BC4281" w:rsidRDefault="00BC4281" w:rsidP="0063685B">
            <w:pPr>
              <w:keepNext/>
              <w:spacing w:after="0"/>
              <w:jc w:val="center"/>
            </w:pPr>
          </w:p>
        </w:tc>
        <w:tc>
          <w:tcPr>
            <w:tcW w:w="567" w:type="dxa"/>
            <w:vAlign w:val="center"/>
          </w:tcPr>
          <w:p w14:paraId="204E0F79" w14:textId="77777777" w:rsidR="00BC4281" w:rsidRDefault="00BC4281" w:rsidP="0063685B">
            <w:pPr>
              <w:keepNext/>
              <w:spacing w:after="0"/>
              <w:jc w:val="center"/>
            </w:pPr>
            <w:r>
              <w:t>RX</w:t>
            </w:r>
          </w:p>
        </w:tc>
        <w:tc>
          <w:tcPr>
            <w:tcW w:w="2486" w:type="dxa"/>
            <w:gridSpan w:val="6"/>
            <w:vAlign w:val="center"/>
          </w:tcPr>
          <w:p w14:paraId="6DB45CBC" w14:textId="77777777" w:rsidR="00BC4281" w:rsidRDefault="00BC4281" w:rsidP="0063685B">
            <w:pPr>
              <w:keepNext/>
              <w:spacing w:after="0"/>
              <w:jc w:val="left"/>
              <w:rPr>
                <w:sz w:val="16"/>
                <w:szCs w:val="16"/>
              </w:rPr>
            </w:pPr>
            <w:r>
              <w:rPr>
                <w:sz w:val="16"/>
                <w:szCs w:val="16"/>
              </w:rPr>
              <w:t xml:space="preserve">Rentas </w:t>
            </w:r>
            <w:proofErr w:type="spellStart"/>
            <w:r>
              <w:rPr>
                <w:sz w:val="16"/>
                <w:szCs w:val="16"/>
              </w:rPr>
              <w:t>Mixtas</w:t>
            </w:r>
            <w:proofErr w:type="spellEnd"/>
          </w:p>
        </w:tc>
        <w:tc>
          <w:tcPr>
            <w:tcW w:w="6596" w:type="dxa"/>
            <w:gridSpan w:val="7"/>
            <w:vMerge/>
            <w:tcBorders>
              <w:bottom w:val="nil"/>
              <w:right w:val="nil"/>
            </w:tcBorders>
            <w:vAlign w:val="center"/>
          </w:tcPr>
          <w:p w14:paraId="3B5698F3" w14:textId="77777777" w:rsidR="00BC4281" w:rsidRDefault="00BC4281" w:rsidP="0063685B">
            <w:pPr>
              <w:keepNext/>
              <w:spacing w:after="0"/>
              <w:jc w:val="center"/>
              <w:rPr>
                <w:sz w:val="16"/>
                <w:szCs w:val="16"/>
              </w:rPr>
            </w:pPr>
          </w:p>
        </w:tc>
      </w:tr>
      <w:tr w:rsidR="00BC4281" w14:paraId="3892B094" w14:textId="77777777" w:rsidTr="0063685B">
        <w:trPr>
          <w:trHeight w:val="57"/>
        </w:trPr>
        <w:tc>
          <w:tcPr>
            <w:tcW w:w="279" w:type="dxa"/>
            <w:tcBorders>
              <w:top w:val="nil"/>
              <w:left w:val="nil"/>
              <w:bottom w:val="nil"/>
            </w:tcBorders>
          </w:tcPr>
          <w:p w14:paraId="38922497" w14:textId="77777777" w:rsidR="00BC4281" w:rsidRDefault="00BC4281" w:rsidP="0063685B">
            <w:pPr>
              <w:keepNext/>
              <w:spacing w:after="0"/>
              <w:jc w:val="center"/>
            </w:pPr>
          </w:p>
        </w:tc>
        <w:tc>
          <w:tcPr>
            <w:tcW w:w="567" w:type="dxa"/>
            <w:vAlign w:val="center"/>
          </w:tcPr>
          <w:p w14:paraId="59928135" w14:textId="77777777" w:rsidR="00BC4281" w:rsidRDefault="00BC4281" w:rsidP="0063685B">
            <w:pPr>
              <w:keepNext/>
              <w:spacing w:after="0"/>
              <w:jc w:val="center"/>
            </w:pPr>
            <w:r>
              <w:t>VA</w:t>
            </w:r>
          </w:p>
        </w:tc>
        <w:tc>
          <w:tcPr>
            <w:tcW w:w="2486" w:type="dxa"/>
            <w:gridSpan w:val="6"/>
            <w:vAlign w:val="center"/>
          </w:tcPr>
          <w:p w14:paraId="6473AB9D" w14:textId="77777777" w:rsidR="00BC4281" w:rsidRDefault="00BC4281" w:rsidP="0063685B">
            <w:pPr>
              <w:keepNext/>
              <w:spacing w:after="0"/>
              <w:jc w:val="center"/>
              <w:rPr>
                <w:sz w:val="16"/>
                <w:szCs w:val="16"/>
              </w:rPr>
            </w:pPr>
            <w:r>
              <w:rPr>
                <w:sz w:val="16"/>
                <w:szCs w:val="16"/>
              </w:rPr>
              <w:t xml:space="preserve">VAB </w:t>
            </w:r>
            <w:proofErr w:type="spellStart"/>
            <w:r>
              <w:rPr>
                <w:sz w:val="16"/>
                <w:szCs w:val="16"/>
              </w:rPr>
              <w:t>por</w:t>
            </w:r>
            <w:proofErr w:type="spellEnd"/>
            <w:r>
              <w:rPr>
                <w:sz w:val="16"/>
                <w:szCs w:val="16"/>
              </w:rPr>
              <w:t xml:space="preserve"> </w:t>
            </w:r>
            <w:proofErr w:type="spellStart"/>
            <w:r>
              <w:rPr>
                <w:sz w:val="16"/>
                <w:szCs w:val="16"/>
              </w:rPr>
              <w:t>ramas</w:t>
            </w:r>
            <w:proofErr w:type="spellEnd"/>
          </w:p>
        </w:tc>
        <w:tc>
          <w:tcPr>
            <w:tcW w:w="6596" w:type="dxa"/>
            <w:gridSpan w:val="7"/>
            <w:vMerge/>
            <w:tcBorders>
              <w:bottom w:val="nil"/>
              <w:right w:val="nil"/>
            </w:tcBorders>
            <w:vAlign w:val="center"/>
          </w:tcPr>
          <w:p w14:paraId="448B8C50" w14:textId="77777777" w:rsidR="00BC4281" w:rsidRDefault="00BC4281" w:rsidP="0063685B">
            <w:pPr>
              <w:keepNext/>
              <w:spacing w:after="0"/>
              <w:jc w:val="center"/>
              <w:rPr>
                <w:sz w:val="16"/>
                <w:szCs w:val="16"/>
              </w:rPr>
            </w:pPr>
          </w:p>
        </w:tc>
      </w:tr>
      <w:tr w:rsidR="00BC4281" w14:paraId="50B9F2B1" w14:textId="77777777" w:rsidTr="0063685B">
        <w:trPr>
          <w:trHeight w:val="57"/>
        </w:trPr>
        <w:tc>
          <w:tcPr>
            <w:tcW w:w="279" w:type="dxa"/>
            <w:tcBorders>
              <w:top w:val="nil"/>
              <w:left w:val="nil"/>
              <w:bottom w:val="nil"/>
            </w:tcBorders>
          </w:tcPr>
          <w:p w14:paraId="6E8CFD99" w14:textId="77777777" w:rsidR="00BC4281" w:rsidRDefault="00BC4281" w:rsidP="0063685B">
            <w:pPr>
              <w:keepNext/>
              <w:spacing w:after="0"/>
              <w:jc w:val="center"/>
            </w:pPr>
          </w:p>
        </w:tc>
        <w:tc>
          <w:tcPr>
            <w:tcW w:w="567" w:type="dxa"/>
            <w:vAlign w:val="center"/>
          </w:tcPr>
          <w:p w14:paraId="31E9BCA3" w14:textId="77777777" w:rsidR="00BC4281" w:rsidRDefault="00BC4281" w:rsidP="0063685B">
            <w:pPr>
              <w:keepNext/>
              <w:spacing w:after="0"/>
              <w:jc w:val="center"/>
            </w:pPr>
            <w:r>
              <w:t>P</w:t>
            </w:r>
          </w:p>
        </w:tc>
        <w:tc>
          <w:tcPr>
            <w:tcW w:w="2486" w:type="dxa"/>
            <w:gridSpan w:val="6"/>
            <w:vAlign w:val="center"/>
          </w:tcPr>
          <w:p w14:paraId="6EF67BF9" w14:textId="77777777" w:rsidR="00BC4281" w:rsidRPr="00F01ADE" w:rsidRDefault="00BC4281" w:rsidP="0063685B">
            <w:pPr>
              <w:keepNext/>
              <w:spacing w:after="0"/>
              <w:jc w:val="center"/>
              <w:rPr>
                <w:sz w:val="16"/>
                <w:szCs w:val="16"/>
                <w:lang w:val="es-ES"/>
              </w:rPr>
            </w:pPr>
            <w:r w:rsidRPr="00F01ADE">
              <w:rPr>
                <w:sz w:val="14"/>
                <w:szCs w:val="14"/>
                <w:lang w:val="es-ES"/>
              </w:rPr>
              <w:t>Insumos totales a precios básicos por ramas</w:t>
            </w:r>
          </w:p>
        </w:tc>
        <w:tc>
          <w:tcPr>
            <w:tcW w:w="6596" w:type="dxa"/>
            <w:gridSpan w:val="7"/>
            <w:vMerge/>
            <w:tcBorders>
              <w:bottom w:val="nil"/>
              <w:right w:val="nil"/>
            </w:tcBorders>
            <w:vAlign w:val="center"/>
          </w:tcPr>
          <w:p w14:paraId="00FEF998" w14:textId="77777777" w:rsidR="00BC4281" w:rsidRPr="00F01ADE" w:rsidRDefault="00BC4281" w:rsidP="0063685B">
            <w:pPr>
              <w:keepNext/>
              <w:spacing w:after="0"/>
              <w:jc w:val="center"/>
              <w:rPr>
                <w:sz w:val="16"/>
                <w:szCs w:val="16"/>
                <w:lang w:val="es-ES"/>
              </w:rPr>
            </w:pPr>
          </w:p>
        </w:tc>
      </w:tr>
    </w:tbl>
    <w:p w14:paraId="0896C0BA" w14:textId="77777777" w:rsidR="00BC4281" w:rsidRDefault="00BC4281" w:rsidP="00BC4281">
      <w:pPr>
        <w:pStyle w:val="Nivel2SM"/>
        <w:keepNext/>
        <w:spacing w:after="0"/>
      </w:pPr>
      <w:r w:rsidRPr="007324AF">
        <w:rPr>
          <w:i/>
          <w:iCs/>
          <w:u w:val="single"/>
        </w:rPr>
        <w:t>Tabla Simétrica</w:t>
      </w:r>
      <w:r>
        <w:t>: C</w:t>
      </w:r>
      <w:r w:rsidRPr="008D6CB7">
        <w:t>onstituye la reordenación de los datos contenidos en las tablas de origen (recursos) y de destino (empleos).</w:t>
      </w:r>
    </w:p>
    <w:tbl>
      <w:tblPr>
        <w:tblStyle w:val="Tablaconcuadrcula"/>
        <w:tblW w:w="0" w:type="auto"/>
        <w:jc w:val="center"/>
        <w:tblLook w:val="04A0" w:firstRow="1" w:lastRow="0" w:firstColumn="1" w:lastColumn="0" w:noHBand="0" w:noVBand="1"/>
      </w:tblPr>
      <w:tblGrid>
        <w:gridCol w:w="2105"/>
        <w:gridCol w:w="454"/>
        <w:gridCol w:w="1880"/>
      </w:tblGrid>
      <w:tr w:rsidR="00BC4281" w14:paraId="3194CE44" w14:textId="77777777" w:rsidTr="0063685B">
        <w:trPr>
          <w:jc w:val="center"/>
        </w:trPr>
        <w:tc>
          <w:tcPr>
            <w:tcW w:w="2105" w:type="dxa"/>
            <w:shd w:val="clear" w:color="auto" w:fill="FFF2CC" w:themeFill="accent4" w:themeFillTint="33"/>
            <w:vAlign w:val="center"/>
          </w:tcPr>
          <w:p w14:paraId="1A6C4E67" w14:textId="77777777" w:rsidR="00BC4281" w:rsidRDefault="00BC4281" w:rsidP="0063685B">
            <w:pPr>
              <w:pStyle w:val="Prrafodelista"/>
              <w:numPr>
                <w:ilvl w:val="0"/>
                <w:numId w:val="55"/>
              </w:numPr>
              <w:spacing w:after="0" w:line="240" w:lineRule="auto"/>
              <w:ind w:left="340" w:hanging="340"/>
            </w:pPr>
            <w:r>
              <w:t>CONSUMOS INTERMEDIOS</w:t>
            </w:r>
          </w:p>
        </w:tc>
        <w:tc>
          <w:tcPr>
            <w:tcW w:w="454" w:type="dxa"/>
            <w:tcBorders>
              <w:top w:val="nil"/>
              <w:bottom w:val="nil"/>
            </w:tcBorders>
            <w:vAlign w:val="center"/>
          </w:tcPr>
          <w:p w14:paraId="48088D0D" w14:textId="77777777" w:rsidR="00BC4281" w:rsidRDefault="00BC4281" w:rsidP="0063685B">
            <w:pPr>
              <w:jc w:val="center"/>
            </w:pPr>
          </w:p>
        </w:tc>
        <w:tc>
          <w:tcPr>
            <w:tcW w:w="1880" w:type="dxa"/>
            <w:tcBorders>
              <w:bottom w:val="single" w:sz="4" w:space="0" w:color="auto"/>
            </w:tcBorders>
            <w:shd w:val="clear" w:color="auto" w:fill="E2EFD9" w:themeFill="accent6" w:themeFillTint="33"/>
            <w:vAlign w:val="center"/>
          </w:tcPr>
          <w:p w14:paraId="0B17F814" w14:textId="77777777" w:rsidR="00BC4281" w:rsidRDefault="00BC4281" w:rsidP="0063685B">
            <w:pPr>
              <w:pStyle w:val="Prrafodelista"/>
              <w:numPr>
                <w:ilvl w:val="0"/>
                <w:numId w:val="55"/>
              </w:numPr>
              <w:spacing w:after="0" w:line="240" w:lineRule="auto"/>
              <w:ind w:left="340" w:hanging="340"/>
            </w:pPr>
            <w:r>
              <w:t>DEMANDAS FINALES</w:t>
            </w:r>
          </w:p>
        </w:tc>
      </w:tr>
      <w:tr w:rsidR="00BC4281" w14:paraId="2A165AD8" w14:textId="77777777" w:rsidTr="0063685B">
        <w:trPr>
          <w:trHeight w:val="227"/>
          <w:jc w:val="center"/>
        </w:trPr>
        <w:tc>
          <w:tcPr>
            <w:tcW w:w="2105" w:type="dxa"/>
            <w:tcBorders>
              <w:left w:val="nil"/>
              <w:bottom w:val="single" w:sz="4" w:space="0" w:color="auto"/>
              <w:right w:val="nil"/>
            </w:tcBorders>
            <w:vAlign w:val="center"/>
          </w:tcPr>
          <w:p w14:paraId="34B9C69E" w14:textId="77777777" w:rsidR="00BC4281" w:rsidRDefault="00BC4281" w:rsidP="0063685B">
            <w:pPr>
              <w:spacing w:after="0"/>
              <w:jc w:val="center"/>
            </w:pPr>
          </w:p>
        </w:tc>
        <w:tc>
          <w:tcPr>
            <w:tcW w:w="2334" w:type="dxa"/>
            <w:gridSpan w:val="2"/>
            <w:vMerge w:val="restart"/>
            <w:tcBorders>
              <w:top w:val="nil"/>
              <w:left w:val="nil"/>
              <w:bottom w:val="nil"/>
              <w:right w:val="nil"/>
            </w:tcBorders>
            <w:vAlign w:val="center"/>
          </w:tcPr>
          <w:p w14:paraId="560572EA" w14:textId="77777777" w:rsidR="00BC4281" w:rsidRDefault="00BC4281" w:rsidP="0063685B">
            <w:pPr>
              <w:jc w:val="center"/>
            </w:pPr>
          </w:p>
        </w:tc>
      </w:tr>
      <w:tr w:rsidR="00BC4281" w14:paraId="3D9A7C0F" w14:textId="77777777" w:rsidTr="0063685B">
        <w:trPr>
          <w:jc w:val="center"/>
        </w:trPr>
        <w:tc>
          <w:tcPr>
            <w:tcW w:w="2105" w:type="dxa"/>
            <w:tcBorders>
              <w:right w:val="single" w:sz="4" w:space="0" w:color="auto"/>
            </w:tcBorders>
            <w:shd w:val="clear" w:color="auto" w:fill="FFCCFF"/>
            <w:vAlign w:val="center"/>
          </w:tcPr>
          <w:p w14:paraId="36A7D029" w14:textId="77777777" w:rsidR="00BC4281" w:rsidRDefault="00BC4281" w:rsidP="0063685B">
            <w:pPr>
              <w:pStyle w:val="Prrafodelista"/>
              <w:numPr>
                <w:ilvl w:val="0"/>
                <w:numId w:val="55"/>
              </w:numPr>
              <w:spacing w:after="0" w:line="240" w:lineRule="auto"/>
              <w:ind w:left="340" w:hanging="340"/>
            </w:pPr>
            <w:r>
              <w:t>INPUTS PRIMARIOS</w:t>
            </w:r>
          </w:p>
        </w:tc>
        <w:tc>
          <w:tcPr>
            <w:tcW w:w="2334" w:type="dxa"/>
            <w:gridSpan w:val="2"/>
            <w:vMerge/>
            <w:tcBorders>
              <w:left w:val="single" w:sz="4" w:space="0" w:color="auto"/>
              <w:bottom w:val="nil"/>
              <w:right w:val="nil"/>
            </w:tcBorders>
            <w:vAlign w:val="center"/>
          </w:tcPr>
          <w:p w14:paraId="5EE97781" w14:textId="77777777" w:rsidR="00BC4281" w:rsidRDefault="00BC4281" w:rsidP="0063685B">
            <w:pPr>
              <w:jc w:val="center"/>
            </w:pPr>
          </w:p>
        </w:tc>
      </w:tr>
    </w:tbl>
    <w:p w14:paraId="6A963060" w14:textId="77777777" w:rsidR="00BC4281" w:rsidRDefault="00BC4281" w:rsidP="00BC4281">
      <w:pPr>
        <w:pStyle w:val="Nivel3SM"/>
      </w:pPr>
      <w:r w:rsidRPr="008278F0">
        <w:t>La matriz simétrica se d</w:t>
      </w:r>
      <w:r>
        <w:t>enomina de esta forma dado que todas las relaciones económicas se realizan entre ramas de actividad y no entre ramas y productos como hasta ahora. Es decir, tanto en las columnas como en las filas tendremos ramas de actividad.</w:t>
      </w:r>
    </w:p>
    <w:tbl>
      <w:tblPr>
        <w:tblStyle w:val="Tablaconcuadrcula"/>
        <w:tblW w:w="9928" w:type="dxa"/>
        <w:tblLayout w:type="fixed"/>
        <w:tblCellMar>
          <w:left w:w="28" w:type="dxa"/>
          <w:right w:w="28" w:type="dxa"/>
        </w:tblCellMar>
        <w:tblLook w:val="04A0" w:firstRow="1" w:lastRow="0" w:firstColumn="1" w:lastColumn="0" w:noHBand="0" w:noVBand="1"/>
      </w:tblPr>
      <w:tblGrid>
        <w:gridCol w:w="277"/>
        <w:gridCol w:w="567"/>
        <w:gridCol w:w="414"/>
        <w:gridCol w:w="414"/>
        <w:gridCol w:w="414"/>
        <w:gridCol w:w="414"/>
        <w:gridCol w:w="416"/>
        <w:gridCol w:w="414"/>
        <w:gridCol w:w="925"/>
        <w:gridCol w:w="851"/>
        <w:gridCol w:w="709"/>
        <w:gridCol w:w="1134"/>
        <w:gridCol w:w="993"/>
        <w:gridCol w:w="993"/>
        <w:gridCol w:w="975"/>
        <w:gridCol w:w="18"/>
      </w:tblGrid>
      <w:tr w:rsidR="00BC4281" w14:paraId="4D3D4919" w14:textId="77777777" w:rsidTr="0063685B">
        <w:trPr>
          <w:trHeight w:val="57"/>
        </w:trPr>
        <w:tc>
          <w:tcPr>
            <w:tcW w:w="844" w:type="dxa"/>
            <w:gridSpan w:val="2"/>
            <w:vMerge w:val="restart"/>
            <w:vAlign w:val="center"/>
          </w:tcPr>
          <w:p w14:paraId="1ECAC66B" w14:textId="77777777" w:rsidR="00BC4281" w:rsidRPr="00F01ADE" w:rsidRDefault="00BC4281" w:rsidP="0063685B">
            <w:pPr>
              <w:keepNext/>
              <w:spacing w:after="0"/>
              <w:jc w:val="center"/>
              <w:rPr>
                <w:sz w:val="16"/>
                <w:lang w:val="es-ES"/>
              </w:rPr>
            </w:pPr>
          </w:p>
        </w:tc>
        <w:tc>
          <w:tcPr>
            <w:tcW w:w="2486" w:type="dxa"/>
            <w:gridSpan w:val="6"/>
            <w:vAlign w:val="center"/>
          </w:tcPr>
          <w:p w14:paraId="642AADCB" w14:textId="77777777" w:rsidR="00BC4281" w:rsidRPr="00D8337B" w:rsidRDefault="00BC4281" w:rsidP="0063685B">
            <w:pPr>
              <w:keepNext/>
              <w:spacing w:after="0"/>
              <w:jc w:val="center"/>
              <w:rPr>
                <w:sz w:val="16"/>
              </w:rPr>
            </w:pPr>
            <w:r w:rsidRPr="00D8337B">
              <w:rPr>
                <w:sz w:val="16"/>
              </w:rPr>
              <w:t xml:space="preserve">Ramas de </w:t>
            </w:r>
            <w:proofErr w:type="spellStart"/>
            <w:r w:rsidRPr="00D8337B">
              <w:rPr>
                <w:sz w:val="16"/>
              </w:rPr>
              <w:t>actividad</w:t>
            </w:r>
            <w:proofErr w:type="spellEnd"/>
          </w:p>
        </w:tc>
        <w:tc>
          <w:tcPr>
            <w:tcW w:w="925" w:type="dxa"/>
            <w:vMerge w:val="restart"/>
            <w:vAlign w:val="center"/>
          </w:tcPr>
          <w:p w14:paraId="545A240E" w14:textId="77777777" w:rsidR="00BC4281" w:rsidRPr="00BE1D0C" w:rsidRDefault="00BC4281" w:rsidP="0063685B">
            <w:pPr>
              <w:keepNext/>
              <w:spacing w:after="0"/>
              <w:jc w:val="center"/>
              <w:rPr>
                <w:sz w:val="14"/>
                <w:szCs w:val="18"/>
              </w:rPr>
            </w:pPr>
            <w:proofErr w:type="spellStart"/>
            <w:r w:rsidRPr="00BE1D0C">
              <w:rPr>
                <w:sz w:val="14"/>
                <w:szCs w:val="18"/>
              </w:rPr>
              <w:t>Consumos</w:t>
            </w:r>
            <w:proofErr w:type="spellEnd"/>
            <w:r w:rsidRPr="00BE1D0C">
              <w:rPr>
                <w:sz w:val="14"/>
                <w:szCs w:val="18"/>
              </w:rPr>
              <w:t xml:space="preserve"> </w:t>
            </w:r>
            <w:proofErr w:type="spellStart"/>
            <w:r w:rsidRPr="00BE1D0C">
              <w:rPr>
                <w:sz w:val="14"/>
                <w:szCs w:val="18"/>
              </w:rPr>
              <w:t>intermedios</w:t>
            </w:r>
            <w:proofErr w:type="spellEnd"/>
          </w:p>
        </w:tc>
        <w:tc>
          <w:tcPr>
            <w:tcW w:w="851" w:type="dxa"/>
            <w:vMerge w:val="restart"/>
            <w:vAlign w:val="center"/>
          </w:tcPr>
          <w:p w14:paraId="212608BA" w14:textId="77777777" w:rsidR="00BC4281" w:rsidRPr="00BE1D0C" w:rsidRDefault="00BC4281" w:rsidP="0063685B">
            <w:pPr>
              <w:keepNext/>
              <w:spacing w:after="0"/>
              <w:jc w:val="center"/>
              <w:rPr>
                <w:sz w:val="14"/>
                <w:szCs w:val="18"/>
              </w:rPr>
            </w:pPr>
            <w:proofErr w:type="spellStart"/>
            <w:r w:rsidRPr="00BE1D0C">
              <w:rPr>
                <w:sz w:val="14"/>
                <w:szCs w:val="18"/>
              </w:rPr>
              <w:t>Consumo</w:t>
            </w:r>
            <w:proofErr w:type="spellEnd"/>
            <w:r w:rsidRPr="00BE1D0C">
              <w:rPr>
                <w:sz w:val="14"/>
                <w:szCs w:val="18"/>
              </w:rPr>
              <w:t xml:space="preserve"> individual</w:t>
            </w:r>
          </w:p>
        </w:tc>
        <w:tc>
          <w:tcPr>
            <w:tcW w:w="709" w:type="dxa"/>
            <w:vMerge w:val="restart"/>
            <w:vAlign w:val="center"/>
          </w:tcPr>
          <w:p w14:paraId="4B2980AA" w14:textId="77777777" w:rsidR="00BC4281" w:rsidRPr="00BE1D0C" w:rsidRDefault="00BC4281" w:rsidP="0063685B">
            <w:pPr>
              <w:keepNext/>
              <w:spacing w:after="0"/>
              <w:jc w:val="center"/>
              <w:rPr>
                <w:sz w:val="14"/>
                <w:szCs w:val="18"/>
              </w:rPr>
            </w:pPr>
            <w:proofErr w:type="spellStart"/>
            <w:r w:rsidRPr="00BE1D0C">
              <w:rPr>
                <w:sz w:val="14"/>
                <w:szCs w:val="18"/>
              </w:rPr>
              <w:t>Consumo</w:t>
            </w:r>
            <w:proofErr w:type="spellEnd"/>
            <w:r w:rsidRPr="00BE1D0C">
              <w:rPr>
                <w:sz w:val="14"/>
                <w:szCs w:val="18"/>
              </w:rPr>
              <w:t xml:space="preserve"> colectivo</w:t>
            </w:r>
          </w:p>
        </w:tc>
        <w:tc>
          <w:tcPr>
            <w:tcW w:w="1134" w:type="dxa"/>
            <w:vMerge w:val="restart"/>
            <w:vAlign w:val="center"/>
          </w:tcPr>
          <w:p w14:paraId="1239E356" w14:textId="77777777" w:rsidR="00BC4281" w:rsidRPr="00BE1D0C" w:rsidRDefault="00BC4281" w:rsidP="0063685B">
            <w:pPr>
              <w:keepNext/>
              <w:spacing w:after="0"/>
              <w:jc w:val="center"/>
              <w:rPr>
                <w:sz w:val="14"/>
                <w:szCs w:val="18"/>
              </w:rPr>
            </w:pPr>
            <w:proofErr w:type="spellStart"/>
            <w:r w:rsidRPr="00BE1D0C">
              <w:rPr>
                <w:sz w:val="14"/>
                <w:szCs w:val="18"/>
              </w:rPr>
              <w:t>Formación</w:t>
            </w:r>
            <w:proofErr w:type="spellEnd"/>
            <w:r w:rsidRPr="00BE1D0C">
              <w:rPr>
                <w:sz w:val="14"/>
                <w:szCs w:val="18"/>
              </w:rPr>
              <w:t xml:space="preserve"> </w:t>
            </w:r>
            <w:proofErr w:type="spellStart"/>
            <w:r w:rsidRPr="00BE1D0C">
              <w:rPr>
                <w:sz w:val="14"/>
                <w:szCs w:val="18"/>
              </w:rPr>
              <w:t>bruta</w:t>
            </w:r>
            <w:proofErr w:type="spellEnd"/>
            <w:r w:rsidRPr="00BE1D0C">
              <w:rPr>
                <w:sz w:val="14"/>
                <w:szCs w:val="18"/>
              </w:rPr>
              <w:t xml:space="preserve"> de capital</w:t>
            </w:r>
          </w:p>
        </w:tc>
        <w:tc>
          <w:tcPr>
            <w:tcW w:w="993" w:type="dxa"/>
            <w:vMerge w:val="restart"/>
            <w:vAlign w:val="center"/>
          </w:tcPr>
          <w:p w14:paraId="51D30B18" w14:textId="77777777" w:rsidR="00BC4281" w:rsidRPr="00BE1D0C" w:rsidRDefault="00BC4281" w:rsidP="0063685B">
            <w:pPr>
              <w:keepNext/>
              <w:spacing w:after="0"/>
              <w:jc w:val="center"/>
              <w:rPr>
                <w:sz w:val="14"/>
                <w:szCs w:val="18"/>
              </w:rPr>
            </w:pPr>
            <w:proofErr w:type="spellStart"/>
            <w:r w:rsidRPr="00BE1D0C">
              <w:rPr>
                <w:sz w:val="14"/>
                <w:szCs w:val="18"/>
              </w:rPr>
              <w:t>Exportaciones</w:t>
            </w:r>
            <w:proofErr w:type="spellEnd"/>
          </w:p>
        </w:tc>
        <w:tc>
          <w:tcPr>
            <w:tcW w:w="993" w:type="dxa"/>
            <w:vMerge w:val="restart"/>
            <w:vAlign w:val="center"/>
          </w:tcPr>
          <w:p w14:paraId="285D820B" w14:textId="77777777" w:rsidR="00BC4281" w:rsidRPr="00BE1D0C" w:rsidRDefault="00BC4281" w:rsidP="0063685B">
            <w:pPr>
              <w:keepNext/>
              <w:spacing w:after="0"/>
              <w:jc w:val="center"/>
              <w:rPr>
                <w:sz w:val="14"/>
                <w:szCs w:val="18"/>
              </w:rPr>
            </w:pPr>
            <w:proofErr w:type="spellStart"/>
            <w:r w:rsidRPr="00BE1D0C">
              <w:rPr>
                <w:sz w:val="14"/>
                <w:szCs w:val="18"/>
              </w:rPr>
              <w:t>Demanda</w:t>
            </w:r>
            <w:proofErr w:type="spellEnd"/>
            <w:r w:rsidRPr="00BE1D0C">
              <w:rPr>
                <w:sz w:val="14"/>
                <w:szCs w:val="18"/>
              </w:rPr>
              <w:t xml:space="preserve"> final</w:t>
            </w:r>
          </w:p>
        </w:tc>
        <w:tc>
          <w:tcPr>
            <w:tcW w:w="993" w:type="dxa"/>
            <w:gridSpan w:val="2"/>
            <w:vMerge w:val="restart"/>
            <w:vAlign w:val="center"/>
          </w:tcPr>
          <w:p w14:paraId="2652B02C" w14:textId="77777777" w:rsidR="00BC4281" w:rsidRPr="00BE1D0C" w:rsidRDefault="00BC4281" w:rsidP="0063685B">
            <w:pPr>
              <w:keepNext/>
              <w:spacing w:after="0"/>
              <w:jc w:val="center"/>
              <w:rPr>
                <w:sz w:val="14"/>
                <w:szCs w:val="18"/>
              </w:rPr>
            </w:pPr>
            <w:r w:rsidRPr="00BE1D0C">
              <w:rPr>
                <w:sz w:val="14"/>
                <w:szCs w:val="18"/>
              </w:rPr>
              <w:t xml:space="preserve">Total </w:t>
            </w:r>
            <w:proofErr w:type="spellStart"/>
            <w:r w:rsidRPr="00BE1D0C">
              <w:rPr>
                <w:sz w:val="14"/>
                <w:szCs w:val="18"/>
              </w:rPr>
              <w:t>empleos</w:t>
            </w:r>
            <w:proofErr w:type="spellEnd"/>
          </w:p>
        </w:tc>
      </w:tr>
      <w:tr w:rsidR="00BC4281" w14:paraId="7E8B24D0" w14:textId="77777777" w:rsidTr="0063685B">
        <w:trPr>
          <w:trHeight w:val="57"/>
        </w:trPr>
        <w:tc>
          <w:tcPr>
            <w:tcW w:w="844" w:type="dxa"/>
            <w:gridSpan w:val="2"/>
            <w:vMerge/>
          </w:tcPr>
          <w:p w14:paraId="432A1800" w14:textId="77777777" w:rsidR="00BC4281" w:rsidRDefault="00BC4281" w:rsidP="0063685B">
            <w:pPr>
              <w:keepNext/>
              <w:spacing w:after="0"/>
              <w:jc w:val="center"/>
            </w:pPr>
          </w:p>
        </w:tc>
        <w:tc>
          <w:tcPr>
            <w:tcW w:w="414" w:type="dxa"/>
            <w:vAlign w:val="center"/>
          </w:tcPr>
          <w:p w14:paraId="40E7A2A0" w14:textId="77777777" w:rsidR="00BC4281" w:rsidRDefault="00BC4281" w:rsidP="0063685B">
            <w:pPr>
              <w:keepNext/>
              <w:spacing w:after="0"/>
              <w:jc w:val="center"/>
            </w:pPr>
            <w:r>
              <w:t>1</w:t>
            </w:r>
          </w:p>
        </w:tc>
        <w:tc>
          <w:tcPr>
            <w:tcW w:w="414" w:type="dxa"/>
            <w:vAlign w:val="center"/>
          </w:tcPr>
          <w:p w14:paraId="115699D0" w14:textId="77777777" w:rsidR="00BC4281" w:rsidRDefault="00BC4281" w:rsidP="0063685B">
            <w:pPr>
              <w:keepNext/>
              <w:spacing w:after="0"/>
              <w:jc w:val="center"/>
            </w:pPr>
            <w:r>
              <w:t>2</w:t>
            </w:r>
          </w:p>
        </w:tc>
        <w:tc>
          <w:tcPr>
            <w:tcW w:w="414" w:type="dxa"/>
            <w:vAlign w:val="center"/>
          </w:tcPr>
          <w:p w14:paraId="42577131" w14:textId="77777777" w:rsidR="00BC4281" w:rsidRDefault="00BC4281" w:rsidP="0063685B">
            <w:pPr>
              <w:keepNext/>
              <w:spacing w:after="0"/>
              <w:jc w:val="center"/>
            </w:pPr>
            <w:r>
              <w:t>3</w:t>
            </w:r>
          </w:p>
        </w:tc>
        <w:tc>
          <w:tcPr>
            <w:tcW w:w="414" w:type="dxa"/>
            <w:vAlign w:val="center"/>
          </w:tcPr>
          <w:p w14:paraId="2F9E3A38" w14:textId="77777777" w:rsidR="00BC4281" w:rsidRDefault="00BC4281" w:rsidP="0063685B">
            <w:pPr>
              <w:keepNext/>
              <w:spacing w:after="0"/>
              <w:jc w:val="center"/>
            </w:pPr>
            <w:r>
              <w:t>4</w:t>
            </w:r>
          </w:p>
        </w:tc>
        <w:tc>
          <w:tcPr>
            <w:tcW w:w="416" w:type="dxa"/>
            <w:vAlign w:val="center"/>
          </w:tcPr>
          <w:p w14:paraId="642C52E1" w14:textId="77777777" w:rsidR="00BC4281" w:rsidRDefault="00BC4281" w:rsidP="0063685B">
            <w:pPr>
              <w:keepNext/>
              <w:spacing w:after="0"/>
              <w:jc w:val="center"/>
            </w:pPr>
            <w:r>
              <w:t>…</w:t>
            </w:r>
          </w:p>
        </w:tc>
        <w:tc>
          <w:tcPr>
            <w:tcW w:w="414" w:type="dxa"/>
            <w:vAlign w:val="center"/>
          </w:tcPr>
          <w:p w14:paraId="13746818" w14:textId="77777777" w:rsidR="00BC4281" w:rsidRDefault="00BC4281" w:rsidP="0063685B">
            <w:pPr>
              <w:keepNext/>
              <w:spacing w:after="0"/>
              <w:jc w:val="center"/>
            </w:pPr>
            <w:r>
              <w:t>n</w:t>
            </w:r>
          </w:p>
        </w:tc>
        <w:tc>
          <w:tcPr>
            <w:tcW w:w="925" w:type="dxa"/>
            <w:vMerge/>
            <w:vAlign w:val="center"/>
          </w:tcPr>
          <w:p w14:paraId="73CA18D6" w14:textId="77777777" w:rsidR="00BC4281" w:rsidRDefault="00BC4281" w:rsidP="0063685B">
            <w:pPr>
              <w:keepNext/>
              <w:spacing w:after="0"/>
              <w:jc w:val="center"/>
            </w:pPr>
          </w:p>
        </w:tc>
        <w:tc>
          <w:tcPr>
            <w:tcW w:w="851" w:type="dxa"/>
            <w:vMerge/>
            <w:vAlign w:val="center"/>
          </w:tcPr>
          <w:p w14:paraId="2B27CBD2" w14:textId="77777777" w:rsidR="00BC4281" w:rsidRDefault="00BC4281" w:rsidP="0063685B">
            <w:pPr>
              <w:keepNext/>
              <w:spacing w:after="0"/>
              <w:jc w:val="center"/>
            </w:pPr>
          </w:p>
        </w:tc>
        <w:tc>
          <w:tcPr>
            <w:tcW w:w="709" w:type="dxa"/>
            <w:vMerge/>
            <w:vAlign w:val="center"/>
          </w:tcPr>
          <w:p w14:paraId="30C2F75B" w14:textId="77777777" w:rsidR="00BC4281" w:rsidRDefault="00BC4281" w:rsidP="0063685B">
            <w:pPr>
              <w:keepNext/>
              <w:spacing w:after="0"/>
              <w:jc w:val="center"/>
            </w:pPr>
          </w:p>
        </w:tc>
        <w:tc>
          <w:tcPr>
            <w:tcW w:w="1134" w:type="dxa"/>
            <w:vMerge/>
            <w:vAlign w:val="center"/>
          </w:tcPr>
          <w:p w14:paraId="42981D26" w14:textId="77777777" w:rsidR="00BC4281" w:rsidRDefault="00BC4281" w:rsidP="0063685B">
            <w:pPr>
              <w:keepNext/>
              <w:spacing w:after="0"/>
              <w:jc w:val="center"/>
            </w:pPr>
          </w:p>
        </w:tc>
        <w:tc>
          <w:tcPr>
            <w:tcW w:w="993" w:type="dxa"/>
            <w:vMerge/>
            <w:vAlign w:val="center"/>
          </w:tcPr>
          <w:p w14:paraId="60A31265" w14:textId="77777777" w:rsidR="00BC4281" w:rsidRDefault="00BC4281" w:rsidP="0063685B">
            <w:pPr>
              <w:keepNext/>
              <w:spacing w:after="0"/>
              <w:jc w:val="center"/>
            </w:pPr>
          </w:p>
        </w:tc>
        <w:tc>
          <w:tcPr>
            <w:tcW w:w="993" w:type="dxa"/>
            <w:vMerge/>
            <w:vAlign w:val="center"/>
          </w:tcPr>
          <w:p w14:paraId="6B05937E" w14:textId="77777777" w:rsidR="00BC4281" w:rsidRDefault="00BC4281" w:rsidP="0063685B">
            <w:pPr>
              <w:keepNext/>
              <w:spacing w:after="0"/>
              <w:jc w:val="center"/>
            </w:pPr>
          </w:p>
        </w:tc>
        <w:tc>
          <w:tcPr>
            <w:tcW w:w="993" w:type="dxa"/>
            <w:gridSpan w:val="2"/>
            <w:vMerge/>
            <w:vAlign w:val="center"/>
          </w:tcPr>
          <w:p w14:paraId="4FF82AB4" w14:textId="77777777" w:rsidR="00BC4281" w:rsidRDefault="00BC4281" w:rsidP="0063685B">
            <w:pPr>
              <w:keepNext/>
              <w:spacing w:after="0"/>
              <w:jc w:val="center"/>
            </w:pPr>
          </w:p>
        </w:tc>
      </w:tr>
      <w:tr w:rsidR="00BC4281" w14:paraId="191CC0E3" w14:textId="77777777" w:rsidTr="0063685B">
        <w:trPr>
          <w:trHeight w:val="57"/>
        </w:trPr>
        <w:tc>
          <w:tcPr>
            <w:tcW w:w="277" w:type="dxa"/>
            <w:vMerge w:val="restart"/>
            <w:textDirection w:val="btLr"/>
            <w:vAlign w:val="center"/>
          </w:tcPr>
          <w:p w14:paraId="3B102F35" w14:textId="77777777" w:rsidR="00BC4281" w:rsidRPr="00D8337B" w:rsidRDefault="00BC4281" w:rsidP="0063685B">
            <w:pPr>
              <w:keepNext/>
              <w:spacing w:after="0"/>
              <w:ind w:left="113" w:right="113"/>
              <w:jc w:val="center"/>
              <w:rPr>
                <w:sz w:val="16"/>
              </w:rPr>
            </w:pPr>
            <w:r w:rsidRPr="00D8337B">
              <w:rPr>
                <w:sz w:val="16"/>
              </w:rPr>
              <w:t xml:space="preserve">Ramas de </w:t>
            </w:r>
            <w:proofErr w:type="spellStart"/>
            <w:r w:rsidRPr="00D8337B">
              <w:rPr>
                <w:sz w:val="16"/>
              </w:rPr>
              <w:t>actividad</w:t>
            </w:r>
            <w:proofErr w:type="spellEnd"/>
          </w:p>
        </w:tc>
        <w:tc>
          <w:tcPr>
            <w:tcW w:w="567" w:type="dxa"/>
            <w:vAlign w:val="center"/>
          </w:tcPr>
          <w:p w14:paraId="76EFD09A" w14:textId="77777777" w:rsidR="00BC4281" w:rsidRDefault="00BC4281" w:rsidP="0063685B">
            <w:pPr>
              <w:keepNext/>
              <w:spacing w:after="0"/>
              <w:jc w:val="center"/>
            </w:pPr>
            <w:r>
              <w:t>1</w:t>
            </w:r>
          </w:p>
        </w:tc>
        <w:tc>
          <w:tcPr>
            <w:tcW w:w="2486" w:type="dxa"/>
            <w:gridSpan w:val="6"/>
            <w:vMerge w:val="restart"/>
            <w:shd w:val="clear" w:color="auto" w:fill="FFF2CC" w:themeFill="accent4" w:themeFillTint="33"/>
            <w:vAlign w:val="center"/>
          </w:tcPr>
          <w:p w14:paraId="6922A7AB" w14:textId="77777777" w:rsidR="00BC4281" w:rsidRPr="00F01ADE" w:rsidRDefault="00BC4281" w:rsidP="0063685B">
            <w:pPr>
              <w:keepNext/>
              <w:spacing w:after="0"/>
              <w:jc w:val="center"/>
              <w:rPr>
                <w:sz w:val="16"/>
                <w:szCs w:val="16"/>
                <w:lang w:val="es-ES"/>
              </w:rPr>
            </w:pPr>
            <w:r w:rsidRPr="00F01ADE">
              <w:rPr>
                <w:sz w:val="16"/>
                <w:szCs w:val="16"/>
                <w:lang w:val="es-ES"/>
              </w:rPr>
              <w:t xml:space="preserve">Consumos intermedios a </w:t>
            </w:r>
            <w:r w:rsidRPr="00F01ADE">
              <w:rPr>
                <w:sz w:val="16"/>
                <w:szCs w:val="16"/>
                <w:u w:val="single"/>
                <w:lang w:val="es-ES"/>
              </w:rPr>
              <w:t>precios de adquisición</w:t>
            </w:r>
            <w:r w:rsidRPr="00F01ADE">
              <w:rPr>
                <w:sz w:val="16"/>
                <w:szCs w:val="16"/>
                <w:lang w:val="es-ES"/>
              </w:rPr>
              <w:t xml:space="preserve"> por rama de actividad</w:t>
            </w:r>
          </w:p>
        </w:tc>
        <w:tc>
          <w:tcPr>
            <w:tcW w:w="925" w:type="dxa"/>
            <w:shd w:val="clear" w:color="auto" w:fill="FFF2CC" w:themeFill="accent4" w:themeFillTint="33"/>
            <w:vAlign w:val="center"/>
          </w:tcPr>
          <w:p w14:paraId="7187318C" w14:textId="77777777" w:rsidR="00BC4281" w:rsidRDefault="00BC4281" w:rsidP="0063685B">
            <w:pPr>
              <w:keepNext/>
              <w:spacing w:after="0"/>
              <w:jc w:val="center"/>
            </w:pPr>
            <w:r>
              <w:rPr>
                <w:noProof/>
                <w:sz w:val="16"/>
                <w:szCs w:val="16"/>
              </w:rPr>
              <mc:AlternateContent>
                <mc:Choice Requires="wps">
                  <w:drawing>
                    <wp:inline distT="0" distB="0" distL="0" distR="0" wp14:anchorId="6EEFC8B1" wp14:editId="7FF32E80">
                      <wp:extent cx="565200" cy="187200"/>
                      <wp:effectExtent l="0" t="0" r="6350" b="3810"/>
                      <wp:docPr id="41" name="Cuadro de texto 41"/>
                      <wp:cNvGraphicFramePr/>
                      <a:graphic xmlns:a="http://schemas.openxmlformats.org/drawingml/2006/main">
                        <a:graphicData uri="http://schemas.microsoft.com/office/word/2010/wordprocessingShape">
                          <wps:wsp>
                            <wps:cNvSpPr txBox="1"/>
                            <wps:spPr>
                              <a:xfrm>
                                <a:off x="0" y="0"/>
                                <a:ext cx="565200" cy="187200"/>
                              </a:xfrm>
                              <a:prstGeom prst="rect">
                                <a:avLst/>
                              </a:prstGeom>
                              <a:gradFill flip="none" rotWithShape="1">
                                <a:gsLst>
                                  <a:gs pos="0">
                                    <a:schemeClr val="accent6">
                                      <a:lumMod val="20000"/>
                                      <a:lumOff val="80000"/>
                                    </a:schemeClr>
                                  </a:gs>
                                  <a:gs pos="100000">
                                    <a:schemeClr val="accent4">
                                      <a:lumMod val="20000"/>
                                      <a:lumOff val="80000"/>
                                    </a:schemeClr>
                                  </a:gs>
                                  <a:gs pos="89000">
                                    <a:schemeClr val="accent6">
                                      <a:lumMod val="20000"/>
                                      <a:lumOff val="80000"/>
                                    </a:schemeClr>
                                  </a:gs>
                                  <a:gs pos="78000">
                                    <a:schemeClr val="accent4">
                                      <a:lumMod val="20000"/>
                                      <a:lumOff val="80000"/>
                                    </a:schemeClr>
                                  </a:gs>
                                  <a:gs pos="67000">
                                    <a:schemeClr val="accent6">
                                      <a:lumMod val="20000"/>
                                      <a:lumOff val="80000"/>
                                    </a:schemeClr>
                                  </a:gs>
                                  <a:gs pos="56000">
                                    <a:schemeClr val="accent4">
                                      <a:lumMod val="20000"/>
                                      <a:lumOff val="80000"/>
                                    </a:schemeClr>
                                  </a:gs>
                                  <a:gs pos="44000">
                                    <a:schemeClr val="accent6">
                                      <a:lumMod val="20000"/>
                                      <a:lumOff val="80000"/>
                                    </a:schemeClr>
                                  </a:gs>
                                  <a:gs pos="33000">
                                    <a:schemeClr val="accent4">
                                      <a:lumMod val="20000"/>
                                      <a:lumOff val="80000"/>
                                    </a:schemeClr>
                                  </a:gs>
                                  <a:gs pos="22000">
                                    <a:schemeClr val="accent6">
                                      <a:lumMod val="20000"/>
                                      <a:lumOff val="80000"/>
                                    </a:schemeClr>
                                  </a:gs>
                                  <a:gs pos="11000">
                                    <a:schemeClr val="accent4">
                                      <a:lumMod val="20000"/>
                                      <a:lumOff val="80000"/>
                                    </a:schemeClr>
                                  </a:gs>
                                </a:gsLst>
                                <a:lin ang="10800000" scaled="1"/>
                                <a:tileRect/>
                              </a:gradFill>
                              <a:ln w="6350">
                                <a:noFill/>
                              </a:ln>
                            </wps:spPr>
                            <wps:txbx>
                              <w:txbxContent>
                                <w:p w14:paraId="55730BF6" w14:textId="77777777" w:rsidR="00BC4281" w:rsidRDefault="00BC4281" w:rsidP="00BC4281">
                                  <w:pPr>
                                    <w:spacing w:after="0" w:line="204" w:lineRule="auto"/>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type w14:anchorId="6EEFC8B1" id="_x0000_t202" coordsize="21600,21600" o:spt="202" path="m,l,21600r21600,l21600,xe">
                      <v:stroke joinstyle="miter"/>
                      <v:path gradientshapeok="t" o:connecttype="rect"/>
                    </v:shapetype>
                    <v:shape id="Cuadro de texto 41" o:spid="_x0000_s1026" type="#_x0000_t202" style="width:44.5pt;height: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" fillcolor="#e2efd9 [665]" stroked="f" strokeweight=".5pt">
                      <v:fill color2="#fff2cc [663]" rotate="t" angle="270" colors="0 #e2f0d9;7209f #fff2cc;14418f #e2f0d9;21627f #fff2cc;28836f #e2f0d9;36700f #fff2cc;43909f #e2f0d9;51118f #fff2cc;58327f #e2f0d9;1 #fff2cc" focus="100%" type="gradient"/>
                      <v:textbox inset="0,0,0,0">
                        <w:txbxContent>
                          <w:p w14:paraId="55730BF6" w14:textId="77777777" w:rsidR="00BC4281" w:rsidRDefault="00BC4281" w:rsidP="00BC4281">
                            <w:pPr>
                              <w:spacing w:after="0" w:line="204" w:lineRule="auto"/>
                              <w:jc w:val="center"/>
                            </w:pPr>
                          </w:p>
                        </w:txbxContent>
                      </v:textbox>
                      <w10:anchorlock/>
                    </v:shape>
                  </w:pict>
                </mc:Fallback>
              </mc:AlternateContent>
            </w:r>
          </w:p>
        </w:tc>
        <w:tc>
          <w:tcPr>
            <w:tcW w:w="851" w:type="dxa"/>
            <w:shd w:val="clear" w:color="auto" w:fill="E2EFD9" w:themeFill="accent6" w:themeFillTint="33"/>
            <w:vAlign w:val="center"/>
          </w:tcPr>
          <w:p w14:paraId="6A84AD4F" w14:textId="77777777" w:rsidR="00BC4281" w:rsidRDefault="00BC4281" w:rsidP="0063685B">
            <w:pPr>
              <w:keepNext/>
              <w:spacing w:after="0"/>
              <w:jc w:val="center"/>
            </w:pPr>
          </w:p>
        </w:tc>
        <w:tc>
          <w:tcPr>
            <w:tcW w:w="709" w:type="dxa"/>
            <w:shd w:val="clear" w:color="auto" w:fill="E2EFD9" w:themeFill="accent6" w:themeFillTint="33"/>
            <w:vAlign w:val="center"/>
          </w:tcPr>
          <w:p w14:paraId="7EF9ADCD" w14:textId="77777777" w:rsidR="00BC4281" w:rsidRDefault="00BC4281" w:rsidP="0063685B">
            <w:pPr>
              <w:keepNext/>
              <w:spacing w:after="0"/>
              <w:jc w:val="center"/>
            </w:pPr>
          </w:p>
        </w:tc>
        <w:tc>
          <w:tcPr>
            <w:tcW w:w="1134" w:type="dxa"/>
            <w:shd w:val="clear" w:color="auto" w:fill="E2EFD9" w:themeFill="accent6" w:themeFillTint="33"/>
            <w:vAlign w:val="center"/>
          </w:tcPr>
          <w:p w14:paraId="4B8D8636" w14:textId="77777777" w:rsidR="00BC4281" w:rsidRDefault="00BC4281" w:rsidP="0063685B">
            <w:pPr>
              <w:keepNext/>
              <w:spacing w:after="0"/>
              <w:jc w:val="center"/>
            </w:pPr>
          </w:p>
        </w:tc>
        <w:tc>
          <w:tcPr>
            <w:tcW w:w="993" w:type="dxa"/>
            <w:shd w:val="clear" w:color="auto" w:fill="E2EFD9" w:themeFill="accent6" w:themeFillTint="33"/>
            <w:vAlign w:val="center"/>
          </w:tcPr>
          <w:p w14:paraId="0F629F76" w14:textId="77777777" w:rsidR="00BC4281" w:rsidRDefault="00BC4281" w:rsidP="0063685B">
            <w:pPr>
              <w:keepNext/>
              <w:spacing w:after="0"/>
              <w:jc w:val="center"/>
            </w:pPr>
          </w:p>
        </w:tc>
        <w:tc>
          <w:tcPr>
            <w:tcW w:w="993" w:type="dxa"/>
            <w:shd w:val="clear" w:color="auto" w:fill="E2EFD9" w:themeFill="accent6" w:themeFillTint="33"/>
            <w:vAlign w:val="center"/>
          </w:tcPr>
          <w:p w14:paraId="558C1D2D" w14:textId="77777777" w:rsidR="00BC4281" w:rsidRDefault="00BC4281" w:rsidP="0063685B">
            <w:pPr>
              <w:keepNext/>
              <w:spacing w:after="0"/>
              <w:jc w:val="center"/>
            </w:pPr>
          </w:p>
        </w:tc>
        <w:tc>
          <w:tcPr>
            <w:tcW w:w="993" w:type="dxa"/>
            <w:gridSpan w:val="2"/>
            <w:shd w:val="clear" w:color="auto" w:fill="E2EFD9" w:themeFill="accent6" w:themeFillTint="33"/>
            <w:vAlign w:val="center"/>
          </w:tcPr>
          <w:p w14:paraId="7B4820BC" w14:textId="77777777" w:rsidR="00BC4281" w:rsidRDefault="00BC4281" w:rsidP="0063685B">
            <w:pPr>
              <w:keepNext/>
              <w:spacing w:after="0"/>
              <w:jc w:val="center"/>
            </w:pPr>
          </w:p>
        </w:tc>
      </w:tr>
      <w:tr w:rsidR="00BC4281" w14:paraId="1E9F9138" w14:textId="77777777" w:rsidTr="0063685B">
        <w:trPr>
          <w:trHeight w:val="57"/>
        </w:trPr>
        <w:tc>
          <w:tcPr>
            <w:tcW w:w="277" w:type="dxa"/>
            <w:vMerge/>
          </w:tcPr>
          <w:p w14:paraId="7F209037" w14:textId="77777777" w:rsidR="00BC4281" w:rsidRDefault="00BC4281" w:rsidP="0063685B">
            <w:pPr>
              <w:keepNext/>
              <w:spacing w:after="0"/>
              <w:jc w:val="center"/>
            </w:pPr>
          </w:p>
        </w:tc>
        <w:tc>
          <w:tcPr>
            <w:tcW w:w="567" w:type="dxa"/>
            <w:vAlign w:val="center"/>
          </w:tcPr>
          <w:p w14:paraId="1F498053" w14:textId="77777777" w:rsidR="00BC4281" w:rsidRDefault="00BC4281" w:rsidP="0063685B">
            <w:pPr>
              <w:keepNext/>
              <w:spacing w:after="0"/>
              <w:jc w:val="center"/>
            </w:pPr>
            <w:r>
              <w:t>2</w:t>
            </w:r>
          </w:p>
        </w:tc>
        <w:tc>
          <w:tcPr>
            <w:tcW w:w="2486" w:type="dxa"/>
            <w:gridSpan w:val="6"/>
            <w:vMerge/>
            <w:shd w:val="clear" w:color="auto" w:fill="FFF2CC" w:themeFill="accent4" w:themeFillTint="33"/>
            <w:vAlign w:val="center"/>
          </w:tcPr>
          <w:p w14:paraId="61CCAAD2" w14:textId="77777777" w:rsidR="00BC4281" w:rsidRDefault="00BC4281" w:rsidP="0063685B">
            <w:pPr>
              <w:keepNext/>
              <w:spacing w:after="0"/>
              <w:jc w:val="center"/>
            </w:pPr>
          </w:p>
        </w:tc>
        <w:tc>
          <w:tcPr>
            <w:tcW w:w="925" w:type="dxa"/>
            <w:shd w:val="clear" w:color="auto" w:fill="FFF2CC" w:themeFill="accent4" w:themeFillTint="33"/>
            <w:vAlign w:val="center"/>
          </w:tcPr>
          <w:p w14:paraId="03C21CC0" w14:textId="77777777" w:rsidR="00BC4281" w:rsidRDefault="00BC4281" w:rsidP="0063685B">
            <w:pPr>
              <w:keepNext/>
              <w:spacing w:after="0"/>
              <w:jc w:val="center"/>
            </w:pPr>
            <w:r>
              <w:rPr>
                <w:noProof/>
                <w:sz w:val="16"/>
                <w:szCs w:val="16"/>
              </w:rPr>
              <mc:AlternateContent>
                <mc:Choice Requires="wps">
                  <w:drawing>
                    <wp:inline distT="0" distB="0" distL="0" distR="0" wp14:anchorId="2F4BDC9D" wp14:editId="0C5B2D1C">
                      <wp:extent cx="565200" cy="187200"/>
                      <wp:effectExtent l="0" t="0" r="6350" b="3810"/>
                      <wp:docPr id="42" name="Cuadro de texto 42"/>
                      <wp:cNvGraphicFramePr/>
                      <a:graphic xmlns:a="http://schemas.openxmlformats.org/drawingml/2006/main">
                        <a:graphicData uri="http://schemas.microsoft.com/office/word/2010/wordprocessingShape">
                          <wps:wsp>
                            <wps:cNvSpPr txBox="1"/>
                            <wps:spPr>
                              <a:xfrm>
                                <a:off x="0" y="0"/>
                                <a:ext cx="565200" cy="187200"/>
                              </a:xfrm>
                              <a:prstGeom prst="rect">
                                <a:avLst/>
                              </a:prstGeom>
                              <a:gradFill flip="none" rotWithShape="1">
                                <a:gsLst>
                                  <a:gs pos="0">
                                    <a:schemeClr val="accent6">
                                      <a:lumMod val="20000"/>
                                      <a:lumOff val="80000"/>
                                    </a:schemeClr>
                                  </a:gs>
                                  <a:gs pos="100000">
                                    <a:schemeClr val="accent4">
                                      <a:lumMod val="20000"/>
                                      <a:lumOff val="80000"/>
                                    </a:schemeClr>
                                  </a:gs>
                                  <a:gs pos="89000">
                                    <a:schemeClr val="accent6">
                                      <a:lumMod val="20000"/>
                                      <a:lumOff val="80000"/>
                                    </a:schemeClr>
                                  </a:gs>
                                  <a:gs pos="78000">
                                    <a:schemeClr val="accent4">
                                      <a:lumMod val="20000"/>
                                      <a:lumOff val="80000"/>
                                    </a:schemeClr>
                                  </a:gs>
                                  <a:gs pos="67000">
                                    <a:schemeClr val="accent6">
                                      <a:lumMod val="20000"/>
                                      <a:lumOff val="80000"/>
                                    </a:schemeClr>
                                  </a:gs>
                                  <a:gs pos="56000">
                                    <a:schemeClr val="accent4">
                                      <a:lumMod val="20000"/>
                                      <a:lumOff val="80000"/>
                                    </a:schemeClr>
                                  </a:gs>
                                  <a:gs pos="44000">
                                    <a:schemeClr val="accent6">
                                      <a:lumMod val="20000"/>
                                      <a:lumOff val="80000"/>
                                    </a:schemeClr>
                                  </a:gs>
                                  <a:gs pos="33000">
                                    <a:schemeClr val="accent4">
                                      <a:lumMod val="20000"/>
                                      <a:lumOff val="80000"/>
                                    </a:schemeClr>
                                  </a:gs>
                                  <a:gs pos="22000">
                                    <a:schemeClr val="accent6">
                                      <a:lumMod val="20000"/>
                                      <a:lumOff val="80000"/>
                                    </a:schemeClr>
                                  </a:gs>
                                  <a:gs pos="11000">
                                    <a:schemeClr val="accent4">
                                      <a:lumMod val="20000"/>
                                      <a:lumOff val="80000"/>
                                    </a:schemeClr>
                                  </a:gs>
                                </a:gsLst>
                                <a:lin ang="10800000" scaled="1"/>
                                <a:tileRect/>
                              </a:gradFill>
                              <a:ln w="6350">
                                <a:noFill/>
                              </a:ln>
                            </wps:spPr>
                            <wps:txbx>
                              <w:txbxContent>
                                <w:p w14:paraId="399EC019" w14:textId="77777777" w:rsidR="00BC4281" w:rsidRDefault="00BC4281" w:rsidP="00BC4281">
                                  <w:pPr>
                                    <w:spacing w:after="0" w:line="204" w:lineRule="auto"/>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2F4BDC9D" id="Cuadro de texto 42" o:spid="_x0000_s1027" type="#_x0000_t202" style="width:44.5pt;height: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" fillcolor="#e2efd9 [665]" stroked="f" strokeweight=".5pt">
                      <v:fill color2="#fff2cc [663]" rotate="t" angle="270" colors="0 #e2f0d9;7209f #fff2cc;14418f #e2f0d9;21627f #fff2cc;28836f #e2f0d9;36700f #fff2cc;43909f #e2f0d9;51118f #fff2cc;58327f #e2f0d9;1 #fff2cc" focus="100%" type="gradient"/>
                      <v:textbox inset="0,0,0,0">
                        <w:txbxContent>
                          <w:p w14:paraId="399EC019" w14:textId="77777777" w:rsidR="00BC4281" w:rsidRDefault="00BC4281" w:rsidP="00BC4281">
                            <w:pPr>
                              <w:spacing w:after="0" w:line="204" w:lineRule="auto"/>
                              <w:jc w:val="center"/>
                            </w:pPr>
                          </w:p>
                        </w:txbxContent>
                      </v:textbox>
                      <w10:anchorlock/>
                    </v:shape>
                  </w:pict>
                </mc:Fallback>
              </mc:AlternateContent>
            </w:r>
          </w:p>
        </w:tc>
        <w:tc>
          <w:tcPr>
            <w:tcW w:w="851" w:type="dxa"/>
            <w:shd w:val="clear" w:color="auto" w:fill="E2EFD9" w:themeFill="accent6" w:themeFillTint="33"/>
            <w:vAlign w:val="center"/>
          </w:tcPr>
          <w:p w14:paraId="48D598CA" w14:textId="77777777" w:rsidR="00BC4281" w:rsidRDefault="00BC4281" w:rsidP="0063685B">
            <w:pPr>
              <w:keepNext/>
              <w:spacing w:after="0"/>
              <w:jc w:val="center"/>
            </w:pPr>
          </w:p>
        </w:tc>
        <w:tc>
          <w:tcPr>
            <w:tcW w:w="709" w:type="dxa"/>
            <w:shd w:val="clear" w:color="auto" w:fill="E2EFD9" w:themeFill="accent6" w:themeFillTint="33"/>
            <w:vAlign w:val="center"/>
          </w:tcPr>
          <w:p w14:paraId="45534936" w14:textId="77777777" w:rsidR="00BC4281" w:rsidRDefault="00BC4281" w:rsidP="0063685B">
            <w:pPr>
              <w:keepNext/>
              <w:spacing w:after="0"/>
              <w:jc w:val="center"/>
            </w:pPr>
          </w:p>
        </w:tc>
        <w:tc>
          <w:tcPr>
            <w:tcW w:w="1134" w:type="dxa"/>
            <w:shd w:val="clear" w:color="auto" w:fill="E2EFD9" w:themeFill="accent6" w:themeFillTint="33"/>
            <w:vAlign w:val="center"/>
          </w:tcPr>
          <w:p w14:paraId="272C6F91" w14:textId="77777777" w:rsidR="00BC4281" w:rsidRDefault="00BC4281" w:rsidP="0063685B">
            <w:pPr>
              <w:keepNext/>
              <w:spacing w:after="0"/>
              <w:jc w:val="center"/>
            </w:pPr>
          </w:p>
        </w:tc>
        <w:tc>
          <w:tcPr>
            <w:tcW w:w="993" w:type="dxa"/>
            <w:shd w:val="clear" w:color="auto" w:fill="E2EFD9" w:themeFill="accent6" w:themeFillTint="33"/>
            <w:vAlign w:val="center"/>
          </w:tcPr>
          <w:p w14:paraId="6EC0C412" w14:textId="77777777" w:rsidR="00BC4281" w:rsidRDefault="00BC4281" w:rsidP="0063685B">
            <w:pPr>
              <w:keepNext/>
              <w:spacing w:after="0"/>
              <w:jc w:val="center"/>
            </w:pPr>
          </w:p>
        </w:tc>
        <w:tc>
          <w:tcPr>
            <w:tcW w:w="993" w:type="dxa"/>
            <w:shd w:val="clear" w:color="auto" w:fill="E2EFD9" w:themeFill="accent6" w:themeFillTint="33"/>
            <w:vAlign w:val="center"/>
          </w:tcPr>
          <w:p w14:paraId="742EE1CB" w14:textId="77777777" w:rsidR="00BC4281" w:rsidRDefault="00BC4281" w:rsidP="0063685B">
            <w:pPr>
              <w:keepNext/>
              <w:spacing w:after="0"/>
              <w:jc w:val="center"/>
            </w:pPr>
          </w:p>
        </w:tc>
        <w:tc>
          <w:tcPr>
            <w:tcW w:w="993" w:type="dxa"/>
            <w:gridSpan w:val="2"/>
            <w:shd w:val="clear" w:color="auto" w:fill="E2EFD9" w:themeFill="accent6" w:themeFillTint="33"/>
            <w:vAlign w:val="center"/>
          </w:tcPr>
          <w:p w14:paraId="4599214E" w14:textId="77777777" w:rsidR="00BC4281" w:rsidRDefault="00BC4281" w:rsidP="0063685B">
            <w:pPr>
              <w:keepNext/>
              <w:spacing w:after="0"/>
              <w:jc w:val="center"/>
            </w:pPr>
          </w:p>
        </w:tc>
      </w:tr>
      <w:tr w:rsidR="00BC4281" w14:paraId="5262F45E" w14:textId="77777777" w:rsidTr="0063685B">
        <w:trPr>
          <w:trHeight w:val="57"/>
        </w:trPr>
        <w:tc>
          <w:tcPr>
            <w:tcW w:w="277" w:type="dxa"/>
            <w:vMerge/>
          </w:tcPr>
          <w:p w14:paraId="6A92C9B0" w14:textId="77777777" w:rsidR="00BC4281" w:rsidRDefault="00BC4281" w:rsidP="0063685B">
            <w:pPr>
              <w:keepNext/>
              <w:spacing w:after="0"/>
              <w:jc w:val="center"/>
            </w:pPr>
          </w:p>
        </w:tc>
        <w:tc>
          <w:tcPr>
            <w:tcW w:w="567" w:type="dxa"/>
            <w:vAlign w:val="center"/>
          </w:tcPr>
          <w:p w14:paraId="1C50558F" w14:textId="77777777" w:rsidR="00BC4281" w:rsidRDefault="00BC4281" w:rsidP="0063685B">
            <w:pPr>
              <w:keepNext/>
              <w:spacing w:after="0"/>
              <w:jc w:val="center"/>
            </w:pPr>
            <w:r>
              <w:t>3</w:t>
            </w:r>
          </w:p>
        </w:tc>
        <w:tc>
          <w:tcPr>
            <w:tcW w:w="2486" w:type="dxa"/>
            <w:gridSpan w:val="6"/>
            <w:vMerge/>
            <w:shd w:val="clear" w:color="auto" w:fill="FFF2CC" w:themeFill="accent4" w:themeFillTint="33"/>
            <w:vAlign w:val="center"/>
          </w:tcPr>
          <w:p w14:paraId="50EF02A6" w14:textId="77777777" w:rsidR="00BC4281" w:rsidRDefault="00BC4281" w:rsidP="0063685B">
            <w:pPr>
              <w:keepNext/>
              <w:spacing w:after="0"/>
              <w:jc w:val="center"/>
            </w:pPr>
          </w:p>
        </w:tc>
        <w:tc>
          <w:tcPr>
            <w:tcW w:w="925" w:type="dxa"/>
            <w:shd w:val="clear" w:color="auto" w:fill="FFF2CC" w:themeFill="accent4" w:themeFillTint="33"/>
            <w:vAlign w:val="center"/>
          </w:tcPr>
          <w:p w14:paraId="7C4580E1" w14:textId="77777777" w:rsidR="00BC4281" w:rsidRDefault="00BC4281" w:rsidP="0063685B">
            <w:pPr>
              <w:keepNext/>
              <w:spacing w:after="0"/>
              <w:jc w:val="center"/>
            </w:pPr>
            <w:r>
              <w:rPr>
                <w:noProof/>
                <w:sz w:val="16"/>
                <w:szCs w:val="16"/>
              </w:rPr>
              <mc:AlternateContent>
                <mc:Choice Requires="wps">
                  <w:drawing>
                    <wp:inline distT="0" distB="0" distL="0" distR="0" wp14:anchorId="20DE35E2" wp14:editId="07C5E71D">
                      <wp:extent cx="565200" cy="187200"/>
                      <wp:effectExtent l="0" t="0" r="6350" b="3810"/>
                      <wp:docPr id="43" name="Cuadro de texto 43"/>
                      <wp:cNvGraphicFramePr/>
                      <a:graphic xmlns:a="http://schemas.openxmlformats.org/drawingml/2006/main">
                        <a:graphicData uri="http://schemas.microsoft.com/office/word/2010/wordprocessingShape">
                          <wps:wsp>
                            <wps:cNvSpPr txBox="1"/>
                            <wps:spPr>
                              <a:xfrm>
                                <a:off x="0" y="0"/>
                                <a:ext cx="565200" cy="187200"/>
                              </a:xfrm>
                              <a:prstGeom prst="rect">
                                <a:avLst/>
                              </a:prstGeom>
                              <a:gradFill flip="none" rotWithShape="1">
                                <a:gsLst>
                                  <a:gs pos="0">
                                    <a:schemeClr val="accent6">
                                      <a:lumMod val="20000"/>
                                      <a:lumOff val="80000"/>
                                    </a:schemeClr>
                                  </a:gs>
                                  <a:gs pos="100000">
                                    <a:schemeClr val="accent4">
                                      <a:lumMod val="20000"/>
                                      <a:lumOff val="80000"/>
                                    </a:schemeClr>
                                  </a:gs>
                                  <a:gs pos="89000">
                                    <a:schemeClr val="accent6">
                                      <a:lumMod val="20000"/>
                                      <a:lumOff val="80000"/>
                                    </a:schemeClr>
                                  </a:gs>
                                  <a:gs pos="78000">
                                    <a:schemeClr val="accent4">
                                      <a:lumMod val="20000"/>
                                      <a:lumOff val="80000"/>
                                    </a:schemeClr>
                                  </a:gs>
                                  <a:gs pos="67000">
                                    <a:schemeClr val="accent6">
                                      <a:lumMod val="20000"/>
                                      <a:lumOff val="80000"/>
                                    </a:schemeClr>
                                  </a:gs>
                                  <a:gs pos="56000">
                                    <a:schemeClr val="accent4">
                                      <a:lumMod val="20000"/>
                                      <a:lumOff val="80000"/>
                                    </a:schemeClr>
                                  </a:gs>
                                  <a:gs pos="44000">
                                    <a:schemeClr val="accent6">
                                      <a:lumMod val="20000"/>
                                      <a:lumOff val="80000"/>
                                    </a:schemeClr>
                                  </a:gs>
                                  <a:gs pos="33000">
                                    <a:schemeClr val="accent4">
                                      <a:lumMod val="20000"/>
                                      <a:lumOff val="80000"/>
                                    </a:schemeClr>
                                  </a:gs>
                                  <a:gs pos="22000">
                                    <a:schemeClr val="accent6">
                                      <a:lumMod val="20000"/>
                                      <a:lumOff val="80000"/>
                                    </a:schemeClr>
                                  </a:gs>
                                  <a:gs pos="11000">
                                    <a:schemeClr val="accent4">
                                      <a:lumMod val="20000"/>
                                      <a:lumOff val="80000"/>
                                    </a:schemeClr>
                                  </a:gs>
                                </a:gsLst>
                                <a:lin ang="10800000" scaled="1"/>
                                <a:tileRect/>
                              </a:gradFill>
                              <a:ln w="6350">
                                <a:noFill/>
                              </a:ln>
                            </wps:spPr>
                            <wps:txbx>
                              <w:txbxContent>
                                <w:p w14:paraId="1A3C4FDB" w14:textId="77777777" w:rsidR="00BC4281" w:rsidRDefault="00BC4281" w:rsidP="00BC4281">
                                  <w:pPr>
                                    <w:spacing w:after="0" w:line="204" w:lineRule="auto"/>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20DE35E2" id="Cuadro de texto 43" o:spid="_x0000_s1028" type="#_x0000_t202" style="width:44.5pt;height: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" fillcolor="#e2efd9 [665]" stroked="f" strokeweight=".5pt">
                      <v:fill color2="#fff2cc [663]" rotate="t" angle="270" colors="0 #e2f0d9;7209f #fff2cc;14418f #e2f0d9;21627f #fff2cc;28836f #e2f0d9;36700f #fff2cc;43909f #e2f0d9;51118f #fff2cc;58327f #e2f0d9;1 #fff2cc" focus="100%" type="gradient"/>
                      <v:textbox inset="0,0,0,0">
                        <w:txbxContent>
                          <w:p w14:paraId="1A3C4FDB" w14:textId="77777777" w:rsidR="00BC4281" w:rsidRDefault="00BC4281" w:rsidP="00BC4281">
                            <w:pPr>
                              <w:spacing w:after="0" w:line="204" w:lineRule="auto"/>
                              <w:jc w:val="center"/>
                            </w:pPr>
                          </w:p>
                        </w:txbxContent>
                      </v:textbox>
                      <w10:anchorlock/>
                    </v:shape>
                  </w:pict>
                </mc:Fallback>
              </mc:AlternateContent>
            </w:r>
          </w:p>
        </w:tc>
        <w:tc>
          <w:tcPr>
            <w:tcW w:w="851" w:type="dxa"/>
            <w:shd w:val="clear" w:color="auto" w:fill="E2EFD9" w:themeFill="accent6" w:themeFillTint="33"/>
            <w:vAlign w:val="center"/>
          </w:tcPr>
          <w:p w14:paraId="116E2B22" w14:textId="77777777" w:rsidR="00BC4281" w:rsidRDefault="00BC4281" w:rsidP="0063685B">
            <w:pPr>
              <w:keepNext/>
              <w:spacing w:after="0"/>
              <w:jc w:val="center"/>
            </w:pPr>
          </w:p>
        </w:tc>
        <w:tc>
          <w:tcPr>
            <w:tcW w:w="709" w:type="dxa"/>
            <w:shd w:val="clear" w:color="auto" w:fill="E2EFD9" w:themeFill="accent6" w:themeFillTint="33"/>
            <w:vAlign w:val="center"/>
          </w:tcPr>
          <w:p w14:paraId="4A796056" w14:textId="77777777" w:rsidR="00BC4281" w:rsidRDefault="00BC4281" w:rsidP="0063685B">
            <w:pPr>
              <w:keepNext/>
              <w:spacing w:after="0"/>
              <w:jc w:val="center"/>
            </w:pPr>
          </w:p>
        </w:tc>
        <w:tc>
          <w:tcPr>
            <w:tcW w:w="1134" w:type="dxa"/>
            <w:shd w:val="clear" w:color="auto" w:fill="E2EFD9" w:themeFill="accent6" w:themeFillTint="33"/>
            <w:vAlign w:val="center"/>
          </w:tcPr>
          <w:p w14:paraId="2D71AACB" w14:textId="77777777" w:rsidR="00BC4281" w:rsidRDefault="00BC4281" w:rsidP="0063685B">
            <w:pPr>
              <w:keepNext/>
              <w:spacing w:after="0"/>
              <w:jc w:val="center"/>
            </w:pPr>
          </w:p>
        </w:tc>
        <w:tc>
          <w:tcPr>
            <w:tcW w:w="993" w:type="dxa"/>
            <w:shd w:val="clear" w:color="auto" w:fill="E2EFD9" w:themeFill="accent6" w:themeFillTint="33"/>
            <w:vAlign w:val="center"/>
          </w:tcPr>
          <w:p w14:paraId="7CB208A1" w14:textId="77777777" w:rsidR="00BC4281" w:rsidRDefault="00BC4281" w:rsidP="0063685B">
            <w:pPr>
              <w:keepNext/>
              <w:spacing w:after="0"/>
              <w:jc w:val="center"/>
            </w:pPr>
          </w:p>
        </w:tc>
        <w:tc>
          <w:tcPr>
            <w:tcW w:w="993" w:type="dxa"/>
            <w:shd w:val="clear" w:color="auto" w:fill="E2EFD9" w:themeFill="accent6" w:themeFillTint="33"/>
            <w:vAlign w:val="center"/>
          </w:tcPr>
          <w:p w14:paraId="5502155A" w14:textId="77777777" w:rsidR="00BC4281" w:rsidRDefault="00BC4281" w:rsidP="0063685B">
            <w:pPr>
              <w:keepNext/>
              <w:spacing w:after="0"/>
              <w:jc w:val="center"/>
            </w:pPr>
          </w:p>
        </w:tc>
        <w:tc>
          <w:tcPr>
            <w:tcW w:w="993" w:type="dxa"/>
            <w:gridSpan w:val="2"/>
            <w:shd w:val="clear" w:color="auto" w:fill="E2EFD9" w:themeFill="accent6" w:themeFillTint="33"/>
            <w:vAlign w:val="center"/>
          </w:tcPr>
          <w:p w14:paraId="4BFA0A1E" w14:textId="77777777" w:rsidR="00BC4281" w:rsidRDefault="00BC4281" w:rsidP="0063685B">
            <w:pPr>
              <w:keepNext/>
              <w:spacing w:after="0"/>
              <w:jc w:val="center"/>
            </w:pPr>
          </w:p>
        </w:tc>
      </w:tr>
      <w:tr w:rsidR="00BC4281" w14:paraId="28F84A9C" w14:textId="77777777" w:rsidTr="0063685B">
        <w:trPr>
          <w:trHeight w:val="57"/>
        </w:trPr>
        <w:tc>
          <w:tcPr>
            <w:tcW w:w="277" w:type="dxa"/>
            <w:vMerge/>
          </w:tcPr>
          <w:p w14:paraId="3945A153" w14:textId="77777777" w:rsidR="00BC4281" w:rsidRDefault="00BC4281" w:rsidP="0063685B">
            <w:pPr>
              <w:keepNext/>
              <w:spacing w:after="0"/>
              <w:jc w:val="center"/>
            </w:pPr>
          </w:p>
        </w:tc>
        <w:tc>
          <w:tcPr>
            <w:tcW w:w="567" w:type="dxa"/>
            <w:vAlign w:val="center"/>
          </w:tcPr>
          <w:p w14:paraId="3F4ACB90" w14:textId="77777777" w:rsidR="00BC4281" w:rsidRDefault="00BC4281" w:rsidP="0063685B">
            <w:pPr>
              <w:keepNext/>
              <w:spacing w:after="0"/>
              <w:jc w:val="center"/>
            </w:pPr>
            <w:r>
              <w:t>4</w:t>
            </w:r>
          </w:p>
        </w:tc>
        <w:tc>
          <w:tcPr>
            <w:tcW w:w="2486" w:type="dxa"/>
            <w:gridSpan w:val="6"/>
            <w:vMerge/>
            <w:shd w:val="clear" w:color="auto" w:fill="FFF2CC" w:themeFill="accent4" w:themeFillTint="33"/>
            <w:vAlign w:val="center"/>
          </w:tcPr>
          <w:p w14:paraId="3370280F" w14:textId="77777777" w:rsidR="00BC4281" w:rsidRDefault="00BC4281" w:rsidP="0063685B">
            <w:pPr>
              <w:keepNext/>
              <w:spacing w:after="0"/>
              <w:jc w:val="center"/>
            </w:pPr>
          </w:p>
        </w:tc>
        <w:tc>
          <w:tcPr>
            <w:tcW w:w="925" w:type="dxa"/>
            <w:shd w:val="clear" w:color="auto" w:fill="FFF2CC" w:themeFill="accent4" w:themeFillTint="33"/>
            <w:vAlign w:val="center"/>
          </w:tcPr>
          <w:p w14:paraId="70BD8BA2" w14:textId="77777777" w:rsidR="00BC4281" w:rsidRDefault="00BC4281" w:rsidP="0063685B">
            <w:pPr>
              <w:keepNext/>
              <w:spacing w:after="0"/>
              <w:jc w:val="center"/>
            </w:pPr>
            <w:r>
              <w:rPr>
                <w:noProof/>
                <w:sz w:val="16"/>
                <w:szCs w:val="16"/>
              </w:rPr>
              <mc:AlternateContent>
                <mc:Choice Requires="wps">
                  <w:drawing>
                    <wp:inline distT="0" distB="0" distL="0" distR="0" wp14:anchorId="4E3FE600" wp14:editId="04677D1F">
                      <wp:extent cx="565200" cy="187200"/>
                      <wp:effectExtent l="0" t="0" r="6350" b="3810"/>
                      <wp:docPr id="44" name="Cuadro de texto 44"/>
                      <wp:cNvGraphicFramePr/>
                      <a:graphic xmlns:a="http://schemas.openxmlformats.org/drawingml/2006/main">
                        <a:graphicData uri="http://schemas.microsoft.com/office/word/2010/wordprocessingShape">
                          <wps:wsp>
                            <wps:cNvSpPr txBox="1"/>
                            <wps:spPr>
                              <a:xfrm>
                                <a:off x="0" y="0"/>
                                <a:ext cx="565200" cy="187200"/>
                              </a:xfrm>
                              <a:prstGeom prst="rect">
                                <a:avLst/>
                              </a:prstGeom>
                              <a:gradFill flip="none" rotWithShape="1">
                                <a:gsLst>
                                  <a:gs pos="0">
                                    <a:schemeClr val="accent6">
                                      <a:lumMod val="20000"/>
                                      <a:lumOff val="80000"/>
                                    </a:schemeClr>
                                  </a:gs>
                                  <a:gs pos="100000">
                                    <a:schemeClr val="accent4">
                                      <a:lumMod val="20000"/>
                                      <a:lumOff val="80000"/>
                                    </a:schemeClr>
                                  </a:gs>
                                  <a:gs pos="89000">
                                    <a:schemeClr val="accent6">
                                      <a:lumMod val="20000"/>
                                      <a:lumOff val="80000"/>
                                    </a:schemeClr>
                                  </a:gs>
                                  <a:gs pos="78000">
                                    <a:schemeClr val="accent4">
                                      <a:lumMod val="20000"/>
                                      <a:lumOff val="80000"/>
                                    </a:schemeClr>
                                  </a:gs>
                                  <a:gs pos="67000">
                                    <a:schemeClr val="accent6">
                                      <a:lumMod val="20000"/>
                                      <a:lumOff val="80000"/>
                                    </a:schemeClr>
                                  </a:gs>
                                  <a:gs pos="56000">
                                    <a:schemeClr val="accent4">
                                      <a:lumMod val="20000"/>
                                      <a:lumOff val="80000"/>
                                    </a:schemeClr>
                                  </a:gs>
                                  <a:gs pos="44000">
                                    <a:schemeClr val="accent6">
                                      <a:lumMod val="20000"/>
                                      <a:lumOff val="80000"/>
                                    </a:schemeClr>
                                  </a:gs>
                                  <a:gs pos="33000">
                                    <a:schemeClr val="accent4">
                                      <a:lumMod val="20000"/>
                                      <a:lumOff val="80000"/>
                                    </a:schemeClr>
                                  </a:gs>
                                  <a:gs pos="22000">
                                    <a:schemeClr val="accent6">
                                      <a:lumMod val="20000"/>
                                      <a:lumOff val="80000"/>
                                    </a:schemeClr>
                                  </a:gs>
                                  <a:gs pos="11000">
                                    <a:schemeClr val="accent4">
                                      <a:lumMod val="20000"/>
                                      <a:lumOff val="80000"/>
                                    </a:schemeClr>
                                  </a:gs>
                                </a:gsLst>
                                <a:lin ang="10800000" scaled="1"/>
                                <a:tileRect/>
                              </a:gradFill>
                              <a:ln w="6350">
                                <a:noFill/>
                              </a:ln>
                            </wps:spPr>
                            <wps:txbx>
                              <w:txbxContent>
                                <w:p w14:paraId="16D0570F" w14:textId="77777777" w:rsidR="00BC4281" w:rsidRDefault="00BC4281" w:rsidP="00BC4281">
                                  <w:pPr>
                                    <w:spacing w:after="0" w:line="204" w:lineRule="auto"/>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4E3FE600" id="Cuadro de texto 44" o:spid="_x0000_s1029" type="#_x0000_t202" style="width:44.5pt;height: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" fillcolor="#e2efd9 [665]" stroked="f" strokeweight=".5pt">
                      <v:fill color2="#fff2cc [663]" rotate="t" angle="270" colors="0 #e2f0d9;7209f #fff2cc;14418f #e2f0d9;21627f #fff2cc;28836f #e2f0d9;36700f #fff2cc;43909f #e2f0d9;51118f #fff2cc;58327f #e2f0d9;1 #fff2cc" focus="100%" type="gradient"/>
                      <v:textbox inset="0,0,0,0">
                        <w:txbxContent>
                          <w:p w14:paraId="16D0570F" w14:textId="77777777" w:rsidR="00BC4281" w:rsidRDefault="00BC4281" w:rsidP="00BC4281">
                            <w:pPr>
                              <w:spacing w:after="0" w:line="204" w:lineRule="auto"/>
                              <w:jc w:val="center"/>
                            </w:pPr>
                          </w:p>
                        </w:txbxContent>
                      </v:textbox>
                      <w10:anchorlock/>
                    </v:shape>
                  </w:pict>
                </mc:Fallback>
              </mc:AlternateContent>
            </w:r>
          </w:p>
        </w:tc>
        <w:tc>
          <w:tcPr>
            <w:tcW w:w="851" w:type="dxa"/>
            <w:shd w:val="clear" w:color="auto" w:fill="E2EFD9" w:themeFill="accent6" w:themeFillTint="33"/>
            <w:vAlign w:val="center"/>
          </w:tcPr>
          <w:p w14:paraId="32A2AAEE" w14:textId="77777777" w:rsidR="00BC4281" w:rsidRDefault="00BC4281" w:rsidP="0063685B">
            <w:pPr>
              <w:keepNext/>
              <w:spacing w:after="0"/>
              <w:jc w:val="center"/>
            </w:pPr>
          </w:p>
        </w:tc>
        <w:tc>
          <w:tcPr>
            <w:tcW w:w="709" w:type="dxa"/>
            <w:shd w:val="clear" w:color="auto" w:fill="E2EFD9" w:themeFill="accent6" w:themeFillTint="33"/>
            <w:vAlign w:val="center"/>
          </w:tcPr>
          <w:p w14:paraId="258447A7" w14:textId="77777777" w:rsidR="00BC4281" w:rsidRDefault="00BC4281" w:rsidP="0063685B">
            <w:pPr>
              <w:keepNext/>
              <w:spacing w:after="0"/>
              <w:jc w:val="center"/>
            </w:pPr>
          </w:p>
        </w:tc>
        <w:tc>
          <w:tcPr>
            <w:tcW w:w="1134" w:type="dxa"/>
            <w:shd w:val="clear" w:color="auto" w:fill="E2EFD9" w:themeFill="accent6" w:themeFillTint="33"/>
            <w:vAlign w:val="center"/>
          </w:tcPr>
          <w:p w14:paraId="5EBD8751" w14:textId="77777777" w:rsidR="00BC4281" w:rsidRDefault="00BC4281" w:rsidP="0063685B">
            <w:pPr>
              <w:keepNext/>
              <w:spacing w:after="0"/>
              <w:jc w:val="center"/>
            </w:pPr>
          </w:p>
        </w:tc>
        <w:tc>
          <w:tcPr>
            <w:tcW w:w="993" w:type="dxa"/>
            <w:shd w:val="clear" w:color="auto" w:fill="E2EFD9" w:themeFill="accent6" w:themeFillTint="33"/>
            <w:vAlign w:val="center"/>
          </w:tcPr>
          <w:p w14:paraId="27FD0A5D" w14:textId="77777777" w:rsidR="00BC4281" w:rsidRDefault="00BC4281" w:rsidP="0063685B">
            <w:pPr>
              <w:keepNext/>
              <w:spacing w:after="0"/>
              <w:jc w:val="center"/>
            </w:pPr>
          </w:p>
        </w:tc>
        <w:tc>
          <w:tcPr>
            <w:tcW w:w="993" w:type="dxa"/>
            <w:shd w:val="clear" w:color="auto" w:fill="E2EFD9" w:themeFill="accent6" w:themeFillTint="33"/>
            <w:vAlign w:val="center"/>
          </w:tcPr>
          <w:p w14:paraId="318366C1" w14:textId="77777777" w:rsidR="00BC4281" w:rsidRDefault="00BC4281" w:rsidP="0063685B">
            <w:pPr>
              <w:keepNext/>
              <w:spacing w:after="0"/>
              <w:jc w:val="center"/>
            </w:pPr>
          </w:p>
        </w:tc>
        <w:tc>
          <w:tcPr>
            <w:tcW w:w="993" w:type="dxa"/>
            <w:gridSpan w:val="2"/>
            <w:shd w:val="clear" w:color="auto" w:fill="E2EFD9" w:themeFill="accent6" w:themeFillTint="33"/>
            <w:vAlign w:val="center"/>
          </w:tcPr>
          <w:p w14:paraId="1909D335" w14:textId="77777777" w:rsidR="00BC4281" w:rsidRDefault="00BC4281" w:rsidP="0063685B">
            <w:pPr>
              <w:keepNext/>
              <w:spacing w:after="0"/>
              <w:jc w:val="center"/>
            </w:pPr>
          </w:p>
        </w:tc>
      </w:tr>
      <w:tr w:rsidR="00BC4281" w14:paraId="2640D1BE" w14:textId="77777777" w:rsidTr="0063685B">
        <w:trPr>
          <w:trHeight w:val="57"/>
        </w:trPr>
        <w:tc>
          <w:tcPr>
            <w:tcW w:w="277" w:type="dxa"/>
            <w:vMerge/>
          </w:tcPr>
          <w:p w14:paraId="5852F88B" w14:textId="77777777" w:rsidR="00BC4281" w:rsidRDefault="00BC4281" w:rsidP="0063685B">
            <w:pPr>
              <w:keepNext/>
              <w:spacing w:after="0"/>
              <w:jc w:val="center"/>
            </w:pPr>
          </w:p>
        </w:tc>
        <w:tc>
          <w:tcPr>
            <w:tcW w:w="567" w:type="dxa"/>
            <w:vAlign w:val="center"/>
          </w:tcPr>
          <w:p w14:paraId="0215DD58" w14:textId="77777777" w:rsidR="00BC4281" w:rsidRDefault="00BC4281" w:rsidP="0063685B">
            <w:pPr>
              <w:keepNext/>
              <w:spacing w:after="0"/>
              <w:jc w:val="center"/>
            </w:pPr>
            <w:r>
              <w:t>…</w:t>
            </w:r>
          </w:p>
        </w:tc>
        <w:tc>
          <w:tcPr>
            <w:tcW w:w="2486" w:type="dxa"/>
            <w:gridSpan w:val="6"/>
            <w:vMerge/>
            <w:shd w:val="clear" w:color="auto" w:fill="FFF2CC" w:themeFill="accent4" w:themeFillTint="33"/>
            <w:vAlign w:val="center"/>
          </w:tcPr>
          <w:p w14:paraId="1BD91B37" w14:textId="77777777" w:rsidR="00BC4281" w:rsidRDefault="00BC4281" w:rsidP="0063685B">
            <w:pPr>
              <w:keepNext/>
              <w:spacing w:after="0"/>
              <w:jc w:val="center"/>
            </w:pPr>
          </w:p>
        </w:tc>
        <w:tc>
          <w:tcPr>
            <w:tcW w:w="925" w:type="dxa"/>
            <w:shd w:val="clear" w:color="auto" w:fill="FFF2CC" w:themeFill="accent4" w:themeFillTint="33"/>
            <w:vAlign w:val="center"/>
          </w:tcPr>
          <w:p w14:paraId="72F5C0D5" w14:textId="77777777" w:rsidR="00BC4281" w:rsidRDefault="00BC4281" w:rsidP="0063685B">
            <w:pPr>
              <w:keepNext/>
              <w:spacing w:after="0"/>
              <w:jc w:val="center"/>
            </w:pPr>
            <w:r>
              <w:rPr>
                <w:noProof/>
                <w:sz w:val="16"/>
                <w:szCs w:val="16"/>
              </w:rPr>
              <mc:AlternateContent>
                <mc:Choice Requires="wps">
                  <w:drawing>
                    <wp:inline distT="0" distB="0" distL="0" distR="0" wp14:anchorId="1137D00D" wp14:editId="253548A2">
                      <wp:extent cx="565200" cy="187200"/>
                      <wp:effectExtent l="0" t="0" r="6350" b="3810"/>
                      <wp:docPr id="45" name="Cuadro de texto 45"/>
                      <wp:cNvGraphicFramePr/>
                      <a:graphic xmlns:a="http://schemas.openxmlformats.org/drawingml/2006/main">
                        <a:graphicData uri="http://schemas.microsoft.com/office/word/2010/wordprocessingShape">
                          <wps:wsp>
                            <wps:cNvSpPr txBox="1"/>
                            <wps:spPr>
                              <a:xfrm>
                                <a:off x="0" y="0"/>
                                <a:ext cx="565200" cy="187200"/>
                              </a:xfrm>
                              <a:prstGeom prst="rect">
                                <a:avLst/>
                              </a:prstGeom>
                              <a:gradFill flip="none" rotWithShape="1">
                                <a:gsLst>
                                  <a:gs pos="0">
                                    <a:schemeClr val="accent6">
                                      <a:lumMod val="20000"/>
                                      <a:lumOff val="80000"/>
                                    </a:schemeClr>
                                  </a:gs>
                                  <a:gs pos="100000">
                                    <a:schemeClr val="accent4">
                                      <a:lumMod val="20000"/>
                                      <a:lumOff val="80000"/>
                                    </a:schemeClr>
                                  </a:gs>
                                  <a:gs pos="89000">
                                    <a:schemeClr val="accent6">
                                      <a:lumMod val="20000"/>
                                      <a:lumOff val="80000"/>
                                    </a:schemeClr>
                                  </a:gs>
                                  <a:gs pos="78000">
                                    <a:schemeClr val="accent4">
                                      <a:lumMod val="20000"/>
                                      <a:lumOff val="80000"/>
                                    </a:schemeClr>
                                  </a:gs>
                                  <a:gs pos="67000">
                                    <a:schemeClr val="accent6">
                                      <a:lumMod val="20000"/>
                                      <a:lumOff val="80000"/>
                                    </a:schemeClr>
                                  </a:gs>
                                  <a:gs pos="56000">
                                    <a:schemeClr val="accent4">
                                      <a:lumMod val="20000"/>
                                      <a:lumOff val="80000"/>
                                    </a:schemeClr>
                                  </a:gs>
                                  <a:gs pos="44000">
                                    <a:schemeClr val="accent6">
                                      <a:lumMod val="20000"/>
                                      <a:lumOff val="80000"/>
                                    </a:schemeClr>
                                  </a:gs>
                                  <a:gs pos="33000">
                                    <a:schemeClr val="accent4">
                                      <a:lumMod val="20000"/>
                                      <a:lumOff val="80000"/>
                                    </a:schemeClr>
                                  </a:gs>
                                  <a:gs pos="22000">
                                    <a:schemeClr val="accent6">
                                      <a:lumMod val="20000"/>
                                      <a:lumOff val="80000"/>
                                    </a:schemeClr>
                                  </a:gs>
                                  <a:gs pos="11000">
                                    <a:schemeClr val="accent4">
                                      <a:lumMod val="20000"/>
                                      <a:lumOff val="80000"/>
                                    </a:schemeClr>
                                  </a:gs>
                                </a:gsLst>
                                <a:lin ang="10800000" scaled="1"/>
                                <a:tileRect/>
                              </a:gradFill>
                              <a:ln w="6350">
                                <a:noFill/>
                              </a:ln>
                            </wps:spPr>
                            <wps:txbx>
                              <w:txbxContent>
                                <w:p w14:paraId="51A88D66" w14:textId="77777777" w:rsidR="00BC4281" w:rsidRDefault="00BC4281" w:rsidP="00BC4281">
                                  <w:pPr>
                                    <w:spacing w:after="0" w:line="204" w:lineRule="auto"/>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1137D00D" id="Cuadro de texto 45" o:spid="_x0000_s1030" type="#_x0000_t202" style="width:44.5pt;height: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" fillcolor="#e2efd9 [665]" stroked="f" strokeweight=".5pt">
                      <v:fill color2="#fff2cc [663]" rotate="t" angle="270" colors="0 #e2f0d9;7209f #fff2cc;14418f #e2f0d9;21627f #fff2cc;28836f #e2f0d9;36700f #fff2cc;43909f #e2f0d9;51118f #fff2cc;58327f #e2f0d9;1 #fff2cc" focus="100%" type="gradient"/>
                      <v:textbox inset="0,0,0,0">
                        <w:txbxContent>
                          <w:p w14:paraId="51A88D66" w14:textId="77777777" w:rsidR="00BC4281" w:rsidRDefault="00BC4281" w:rsidP="00BC4281">
                            <w:pPr>
                              <w:spacing w:after="0" w:line="204" w:lineRule="auto"/>
                              <w:jc w:val="center"/>
                            </w:pPr>
                          </w:p>
                        </w:txbxContent>
                      </v:textbox>
                      <w10:anchorlock/>
                    </v:shape>
                  </w:pict>
                </mc:Fallback>
              </mc:AlternateContent>
            </w:r>
          </w:p>
        </w:tc>
        <w:tc>
          <w:tcPr>
            <w:tcW w:w="851" w:type="dxa"/>
            <w:shd w:val="clear" w:color="auto" w:fill="E2EFD9" w:themeFill="accent6" w:themeFillTint="33"/>
            <w:vAlign w:val="center"/>
          </w:tcPr>
          <w:p w14:paraId="58F39088" w14:textId="77777777" w:rsidR="00BC4281" w:rsidRDefault="00BC4281" w:rsidP="0063685B">
            <w:pPr>
              <w:keepNext/>
              <w:spacing w:after="0"/>
              <w:jc w:val="center"/>
            </w:pPr>
          </w:p>
        </w:tc>
        <w:tc>
          <w:tcPr>
            <w:tcW w:w="709" w:type="dxa"/>
            <w:shd w:val="clear" w:color="auto" w:fill="E2EFD9" w:themeFill="accent6" w:themeFillTint="33"/>
            <w:vAlign w:val="center"/>
          </w:tcPr>
          <w:p w14:paraId="12FC93A4" w14:textId="77777777" w:rsidR="00BC4281" w:rsidRDefault="00BC4281" w:rsidP="0063685B">
            <w:pPr>
              <w:keepNext/>
              <w:spacing w:after="0"/>
              <w:jc w:val="center"/>
            </w:pPr>
          </w:p>
        </w:tc>
        <w:tc>
          <w:tcPr>
            <w:tcW w:w="1134" w:type="dxa"/>
            <w:shd w:val="clear" w:color="auto" w:fill="E2EFD9" w:themeFill="accent6" w:themeFillTint="33"/>
            <w:vAlign w:val="center"/>
          </w:tcPr>
          <w:p w14:paraId="7EB8B312" w14:textId="77777777" w:rsidR="00BC4281" w:rsidRDefault="00BC4281" w:rsidP="0063685B">
            <w:pPr>
              <w:keepNext/>
              <w:spacing w:after="0"/>
              <w:jc w:val="center"/>
            </w:pPr>
          </w:p>
        </w:tc>
        <w:tc>
          <w:tcPr>
            <w:tcW w:w="993" w:type="dxa"/>
            <w:shd w:val="clear" w:color="auto" w:fill="E2EFD9" w:themeFill="accent6" w:themeFillTint="33"/>
            <w:vAlign w:val="center"/>
          </w:tcPr>
          <w:p w14:paraId="0EBAB819" w14:textId="77777777" w:rsidR="00BC4281" w:rsidRDefault="00BC4281" w:rsidP="0063685B">
            <w:pPr>
              <w:keepNext/>
              <w:spacing w:after="0"/>
              <w:jc w:val="center"/>
            </w:pPr>
          </w:p>
        </w:tc>
        <w:tc>
          <w:tcPr>
            <w:tcW w:w="993" w:type="dxa"/>
            <w:shd w:val="clear" w:color="auto" w:fill="E2EFD9" w:themeFill="accent6" w:themeFillTint="33"/>
            <w:vAlign w:val="center"/>
          </w:tcPr>
          <w:p w14:paraId="2C35429E" w14:textId="77777777" w:rsidR="00BC4281" w:rsidRDefault="00BC4281" w:rsidP="0063685B">
            <w:pPr>
              <w:keepNext/>
              <w:spacing w:after="0"/>
              <w:jc w:val="center"/>
            </w:pPr>
          </w:p>
        </w:tc>
        <w:tc>
          <w:tcPr>
            <w:tcW w:w="993" w:type="dxa"/>
            <w:gridSpan w:val="2"/>
            <w:shd w:val="clear" w:color="auto" w:fill="E2EFD9" w:themeFill="accent6" w:themeFillTint="33"/>
            <w:vAlign w:val="center"/>
          </w:tcPr>
          <w:p w14:paraId="12496F55" w14:textId="77777777" w:rsidR="00BC4281" w:rsidRDefault="00BC4281" w:rsidP="0063685B">
            <w:pPr>
              <w:keepNext/>
              <w:spacing w:after="0"/>
              <w:jc w:val="center"/>
            </w:pPr>
          </w:p>
        </w:tc>
      </w:tr>
      <w:tr w:rsidR="00BC4281" w14:paraId="10C0D4C0" w14:textId="77777777" w:rsidTr="0063685B">
        <w:trPr>
          <w:trHeight w:val="57"/>
        </w:trPr>
        <w:tc>
          <w:tcPr>
            <w:tcW w:w="277" w:type="dxa"/>
            <w:vMerge/>
            <w:tcBorders>
              <w:bottom w:val="single" w:sz="4" w:space="0" w:color="auto"/>
            </w:tcBorders>
          </w:tcPr>
          <w:p w14:paraId="1FBB32E7" w14:textId="77777777" w:rsidR="00BC4281" w:rsidRDefault="00BC4281" w:rsidP="0063685B">
            <w:pPr>
              <w:keepNext/>
              <w:spacing w:after="0"/>
              <w:jc w:val="center"/>
            </w:pPr>
          </w:p>
        </w:tc>
        <w:tc>
          <w:tcPr>
            <w:tcW w:w="567" w:type="dxa"/>
            <w:vAlign w:val="center"/>
          </w:tcPr>
          <w:p w14:paraId="6B9C8954" w14:textId="77777777" w:rsidR="00BC4281" w:rsidRDefault="00BC4281" w:rsidP="0063685B">
            <w:pPr>
              <w:keepNext/>
              <w:spacing w:after="0"/>
              <w:jc w:val="center"/>
            </w:pPr>
            <w:r>
              <w:t>n</w:t>
            </w:r>
          </w:p>
        </w:tc>
        <w:tc>
          <w:tcPr>
            <w:tcW w:w="2486" w:type="dxa"/>
            <w:gridSpan w:val="6"/>
            <w:vMerge/>
            <w:shd w:val="clear" w:color="auto" w:fill="FFF2CC" w:themeFill="accent4" w:themeFillTint="33"/>
            <w:vAlign w:val="center"/>
          </w:tcPr>
          <w:p w14:paraId="6F4D4B4E" w14:textId="77777777" w:rsidR="00BC4281" w:rsidRDefault="00BC4281" w:rsidP="0063685B">
            <w:pPr>
              <w:keepNext/>
              <w:spacing w:after="0"/>
              <w:jc w:val="center"/>
            </w:pPr>
          </w:p>
        </w:tc>
        <w:tc>
          <w:tcPr>
            <w:tcW w:w="925" w:type="dxa"/>
            <w:shd w:val="clear" w:color="auto" w:fill="FFF2CC" w:themeFill="accent4" w:themeFillTint="33"/>
            <w:vAlign w:val="center"/>
          </w:tcPr>
          <w:p w14:paraId="034EEFD8" w14:textId="77777777" w:rsidR="00BC4281" w:rsidRDefault="00BC4281" w:rsidP="0063685B">
            <w:pPr>
              <w:keepNext/>
              <w:spacing w:after="0"/>
              <w:jc w:val="center"/>
            </w:pPr>
            <w:r>
              <w:rPr>
                <w:noProof/>
                <w:sz w:val="16"/>
                <w:szCs w:val="16"/>
              </w:rPr>
              <mc:AlternateContent>
                <mc:Choice Requires="wps">
                  <w:drawing>
                    <wp:inline distT="0" distB="0" distL="0" distR="0" wp14:anchorId="08303464" wp14:editId="3C568305">
                      <wp:extent cx="565200" cy="187200"/>
                      <wp:effectExtent l="0" t="0" r="6350" b="3810"/>
                      <wp:docPr id="46" name="Cuadro de texto 46"/>
                      <wp:cNvGraphicFramePr/>
                      <a:graphic xmlns:a="http://schemas.openxmlformats.org/drawingml/2006/main">
                        <a:graphicData uri="http://schemas.microsoft.com/office/word/2010/wordprocessingShape">
                          <wps:wsp>
                            <wps:cNvSpPr txBox="1"/>
                            <wps:spPr>
                              <a:xfrm>
                                <a:off x="0" y="0"/>
                                <a:ext cx="565200" cy="187200"/>
                              </a:xfrm>
                              <a:prstGeom prst="rect">
                                <a:avLst/>
                              </a:prstGeom>
                              <a:gradFill flip="none" rotWithShape="1">
                                <a:gsLst>
                                  <a:gs pos="0">
                                    <a:schemeClr val="accent6">
                                      <a:lumMod val="20000"/>
                                      <a:lumOff val="80000"/>
                                    </a:schemeClr>
                                  </a:gs>
                                  <a:gs pos="100000">
                                    <a:schemeClr val="accent4">
                                      <a:lumMod val="20000"/>
                                      <a:lumOff val="80000"/>
                                    </a:schemeClr>
                                  </a:gs>
                                  <a:gs pos="89000">
                                    <a:schemeClr val="accent6">
                                      <a:lumMod val="20000"/>
                                      <a:lumOff val="80000"/>
                                    </a:schemeClr>
                                  </a:gs>
                                  <a:gs pos="78000">
                                    <a:schemeClr val="accent4">
                                      <a:lumMod val="20000"/>
                                      <a:lumOff val="80000"/>
                                    </a:schemeClr>
                                  </a:gs>
                                  <a:gs pos="67000">
                                    <a:schemeClr val="accent6">
                                      <a:lumMod val="20000"/>
                                      <a:lumOff val="80000"/>
                                    </a:schemeClr>
                                  </a:gs>
                                  <a:gs pos="56000">
                                    <a:schemeClr val="accent4">
                                      <a:lumMod val="20000"/>
                                      <a:lumOff val="80000"/>
                                    </a:schemeClr>
                                  </a:gs>
                                  <a:gs pos="44000">
                                    <a:schemeClr val="accent6">
                                      <a:lumMod val="20000"/>
                                      <a:lumOff val="80000"/>
                                    </a:schemeClr>
                                  </a:gs>
                                  <a:gs pos="33000">
                                    <a:schemeClr val="accent4">
                                      <a:lumMod val="20000"/>
                                      <a:lumOff val="80000"/>
                                    </a:schemeClr>
                                  </a:gs>
                                  <a:gs pos="22000">
                                    <a:schemeClr val="accent6">
                                      <a:lumMod val="20000"/>
                                      <a:lumOff val="80000"/>
                                    </a:schemeClr>
                                  </a:gs>
                                  <a:gs pos="11000">
                                    <a:schemeClr val="accent4">
                                      <a:lumMod val="20000"/>
                                      <a:lumOff val="80000"/>
                                    </a:schemeClr>
                                  </a:gs>
                                </a:gsLst>
                                <a:lin ang="10800000" scaled="1"/>
                                <a:tileRect/>
                              </a:gradFill>
                              <a:ln w="6350">
                                <a:noFill/>
                              </a:ln>
                            </wps:spPr>
                            <wps:txbx>
                              <w:txbxContent>
                                <w:p w14:paraId="4A456FAD" w14:textId="77777777" w:rsidR="00BC4281" w:rsidRPr="0017747A" w:rsidRDefault="00BC4281" w:rsidP="00BC4281">
                                  <w:pPr>
                                    <w:spacing w:after="0" w:line="204" w:lineRule="auto"/>
                                    <w:jc w:val="center"/>
                                    <w:rPr>
                                      <w:sz w:val="14"/>
                                      <w:szCs w:val="14"/>
                                    </w:rPr>
                                  </w:pPr>
                                  <w:r w:rsidRPr="0017747A">
                                    <w:rPr>
                                      <w:sz w:val="14"/>
                                      <w:szCs w:val="14"/>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08303464" id="Cuadro de texto 46" o:spid="_x0000_s1031" type="#_x0000_t202" style="width:44.5pt;height: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" fillcolor="#e2efd9 [665]" stroked="f" strokeweight=".5pt">
                      <v:fill color2="#fff2cc [663]" rotate="t" angle="270" colors="0 #e2f0d9;7209f #fff2cc;14418f #e2f0d9;21627f #fff2cc;28836f #e2f0d9;36700f #fff2cc;43909f #e2f0d9;51118f #fff2cc;58327f #e2f0d9;1 #fff2cc" focus="100%" type="gradient"/>
                      <v:textbox inset="0,0,0,0">
                        <w:txbxContent>
                          <w:p w14:paraId="4A456FAD" w14:textId="77777777" w:rsidR="00BC4281" w:rsidRPr="0017747A" w:rsidRDefault="00BC4281" w:rsidP="00BC4281">
                            <w:pPr>
                              <w:spacing w:after="0" w:line="204" w:lineRule="auto"/>
                              <w:jc w:val="center"/>
                              <w:rPr>
                                <w:sz w:val="14"/>
                                <w:szCs w:val="14"/>
                              </w:rPr>
                            </w:pPr>
                            <w:r w:rsidRPr="0017747A">
                              <w:rPr>
                                <w:sz w:val="14"/>
                                <w:szCs w:val="14"/>
                              </w:rPr>
                              <w:t>(1)</w:t>
                            </w:r>
                          </w:p>
                        </w:txbxContent>
                      </v:textbox>
                      <w10:anchorlock/>
                    </v:shape>
                  </w:pict>
                </mc:Fallback>
              </mc:AlternateContent>
            </w:r>
          </w:p>
        </w:tc>
        <w:tc>
          <w:tcPr>
            <w:tcW w:w="851" w:type="dxa"/>
            <w:shd w:val="clear" w:color="auto" w:fill="E2EFD9" w:themeFill="accent6" w:themeFillTint="33"/>
            <w:vAlign w:val="center"/>
          </w:tcPr>
          <w:p w14:paraId="0653D25E" w14:textId="77777777" w:rsidR="00BC4281" w:rsidRPr="0017747A" w:rsidRDefault="00BC4281" w:rsidP="0063685B">
            <w:pPr>
              <w:keepNext/>
              <w:spacing w:after="0"/>
              <w:jc w:val="center"/>
              <w:rPr>
                <w:sz w:val="14"/>
                <w:szCs w:val="14"/>
              </w:rPr>
            </w:pPr>
            <w:r w:rsidRPr="0017747A">
              <w:rPr>
                <w:sz w:val="14"/>
                <w:szCs w:val="14"/>
              </w:rPr>
              <w:t>(</w:t>
            </w:r>
            <w:r>
              <w:rPr>
                <w:sz w:val="14"/>
                <w:szCs w:val="14"/>
              </w:rPr>
              <w:t>2</w:t>
            </w:r>
            <w:r w:rsidRPr="0017747A">
              <w:rPr>
                <w:sz w:val="14"/>
                <w:szCs w:val="14"/>
              </w:rPr>
              <w:t>)</w:t>
            </w:r>
          </w:p>
        </w:tc>
        <w:tc>
          <w:tcPr>
            <w:tcW w:w="709" w:type="dxa"/>
            <w:shd w:val="clear" w:color="auto" w:fill="E2EFD9" w:themeFill="accent6" w:themeFillTint="33"/>
            <w:vAlign w:val="center"/>
          </w:tcPr>
          <w:p w14:paraId="58BA09A9" w14:textId="77777777" w:rsidR="00BC4281" w:rsidRDefault="00BC4281" w:rsidP="0063685B">
            <w:pPr>
              <w:keepNext/>
              <w:spacing w:after="0"/>
              <w:jc w:val="center"/>
            </w:pPr>
            <w:r w:rsidRPr="0017747A">
              <w:rPr>
                <w:sz w:val="14"/>
                <w:szCs w:val="14"/>
              </w:rPr>
              <w:t>(</w:t>
            </w:r>
            <w:r>
              <w:rPr>
                <w:sz w:val="14"/>
                <w:szCs w:val="14"/>
              </w:rPr>
              <w:t>3</w:t>
            </w:r>
            <w:r w:rsidRPr="0017747A">
              <w:rPr>
                <w:sz w:val="14"/>
                <w:szCs w:val="14"/>
              </w:rPr>
              <w:t>)</w:t>
            </w:r>
          </w:p>
        </w:tc>
        <w:tc>
          <w:tcPr>
            <w:tcW w:w="1134" w:type="dxa"/>
            <w:shd w:val="clear" w:color="auto" w:fill="E2EFD9" w:themeFill="accent6" w:themeFillTint="33"/>
            <w:vAlign w:val="center"/>
          </w:tcPr>
          <w:p w14:paraId="74117AFD" w14:textId="77777777" w:rsidR="00BC4281" w:rsidRDefault="00BC4281" w:rsidP="0063685B">
            <w:pPr>
              <w:keepNext/>
              <w:spacing w:after="0"/>
              <w:jc w:val="center"/>
            </w:pPr>
            <w:r w:rsidRPr="0017747A">
              <w:rPr>
                <w:sz w:val="14"/>
                <w:szCs w:val="14"/>
              </w:rPr>
              <w:t>(</w:t>
            </w:r>
            <w:r>
              <w:rPr>
                <w:sz w:val="14"/>
                <w:szCs w:val="14"/>
              </w:rPr>
              <w:t>4</w:t>
            </w:r>
            <w:r w:rsidRPr="0017747A">
              <w:rPr>
                <w:sz w:val="14"/>
                <w:szCs w:val="14"/>
              </w:rPr>
              <w:t>)</w:t>
            </w:r>
          </w:p>
        </w:tc>
        <w:tc>
          <w:tcPr>
            <w:tcW w:w="993" w:type="dxa"/>
            <w:shd w:val="clear" w:color="auto" w:fill="E2EFD9" w:themeFill="accent6" w:themeFillTint="33"/>
            <w:vAlign w:val="center"/>
          </w:tcPr>
          <w:p w14:paraId="5DA82E53" w14:textId="77777777" w:rsidR="00BC4281" w:rsidRDefault="00BC4281" w:rsidP="0063685B">
            <w:pPr>
              <w:keepNext/>
              <w:spacing w:after="0"/>
              <w:jc w:val="center"/>
            </w:pPr>
            <w:r w:rsidRPr="0017747A">
              <w:rPr>
                <w:sz w:val="14"/>
                <w:szCs w:val="14"/>
              </w:rPr>
              <w:t>(</w:t>
            </w:r>
            <w:r>
              <w:rPr>
                <w:sz w:val="14"/>
                <w:szCs w:val="14"/>
              </w:rPr>
              <w:t>5</w:t>
            </w:r>
            <w:r w:rsidRPr="0017747A">
              <w:rPr>
                <w:sz w:val="14"/>
                <w:szCs w:val="14"/>
              </w:rPr>
              <w:t>)</w:t>
            </w:r>
          </w:p>
        </w:tc>
        <w:tc>
          <w:tcPr>
            <w:tcW w:w="993" w:type="dxa"/>
            <w:shd w:val="clear" w:color="auto" w:fill="E2EFD9" w:themeFill="accent6" w:themeFillTint="33"/>
            <w:vAlign w:val="center"/>
          </w:tcPr>
          <w:p w14:paraId="18060E15" w14:textId="77777777" w:rsidR="00BC4281" w:rsidRDefault="00BC4281" w:rsidP="0063685B">
            <w:pPr>
              <w:keepNext/>
              <w:spacing w:after="0"/>
              <w:jc w:val="center"/>
            </w:pPr>
            <w:r w:rsidRPr="0017747A">
              <w:rPr>
                <w:sz w:val="14"/>
                <w:szCs w:val="14"/>
              </w:rPr>
              <w:t>(</w:t>
            </w:r>
            <w:proofErr w:type="gramStart"/>
            <w:r>
              <w:rPr>
                <w:sz w:val="14"/>
                <w:szCs w:val="14"/>
              </w:rPr>
              <w:t>2</w:t>
            </w:r>
            <w:r w:rsidRPr="0017747A">
              <w:rPr>
                <w:sz w:val="14"/>
                <w:szCs w:val="14"/>
              </w:rPr>
              <w:t>)</w:t>
            </w:r>
            <w:r>
              <w:rPr>
                <w:sz w:val="14"/>
                <w:szCs w:val="14"/>
              </w:rPr>
              <w:t>+</w:t>
            </w:r>
            <w:r w:rsidRPr="0017747A">
              <w:rPr>
                <w:sz w:val="14"/>
                <w:szCs w:val="14"/>
              </w:rPr>
              <w:t>(</w:t>
            </w:r>
            <w:proofErr w:type="gramEnd"/>
            <w:r>
              <w:rPr>
                <w:sz w:val="14"/>
                <w:szCs w:val="14"/>
              </w:rPr>
              <w:t>3</w:t>
            </w:r>
            <w:r w:rsidRPr="0017747A">
              <w:rPr>
                <w:sz w:val="14"/>
                <w:szCs w:val="14"/>
              </w:rPr>
              <w:t>)</w:t>
            </w:r>
            <w:r>
              <w:rPr>
                <w:sz w:val="14"/>
                <w:szCs w:val="14"/>
              </w:rPr>
              <w:t>+</w:t>
            </w:r>
            <w:r w:rsidRPr="0017747A">
              <w:rPr>
                <w:sz w:val="14"/>
                <w:szCs w:val="14"/>
              </w:rPr>
              <w:t>(</w:t>
            </w:r>
            <w:r>
              <w:rPr>
                <w:sz w:val="14"/>
                <w:szCs w:val="14"/>
              </w:rPr>
              <w:t>4</w:t>
            </w:r>
            <w:r w:rsidRPr="0017747A">
              <w:rPr>
                <w:sz w:val="14"/>
                <w:szCs w:val="14"/>
              </w:rPr>
              <w:t>)</w:t>
            </w:r>
            <w:r>
              <w:rPr>
                <w:sz w:val="14"/>
                <w:szCs w:val="14"/>
              </w:rPr>
              <w:t>+</w:t>
            </w:r>
            <w:r w:rsidRPr="0017747A">
              <w:rPr>
                <w:sz w:val="14"/>
                <w:szCs w:val="14"/>
              </w:rPr>
              <w:t>(</w:t>
            </w:r>
            <w:r>
              <w:rPr>
                <w:sz w:val="14"/>
                <w:szCs w:val="14"/>
              </w:rPr>
              <w:t>5</w:t>
            </w:r>
            <w:r w:rsidRPr="0017747A">
              <w:rPr>
                <w:sz w:val="14"/>
                <w:szCs w:val="14"/>
              </w:rPr>
              <w:t>)</w:t>
            </w:r>
          </w:p>
        </w:tc>
        <w:tc>
          <w:tcPr>
            <w:tcW w:w="993" w:type="dxa"/>
            <w:gridSpan w:val="2"/>
            <w:shd w:val="clear" w:color="auto" w:fill="E2EFD9" w:themeFill="accent6" w:themeFillTint="33"/>
            <w:vAlign w:val="center"/>
          </w:tcPr>
          <w:p w14:paraId="3B56ECA2" w14:textId="77777777" w:rsidR="00BC4281" w:rsidRPr="0017747A" w:rsidRDefault="00BC4281" w:rsidP="0063685B">
            <w:pPr>
              <w:keepNext/>
              <w:spacing w:after="0"/>
              <w:jc w:val="center"/>
              <w:rPr>
                <w:spacing w:val="-9"/>
              </w:rPr>
            </w:pPr>
            <w:r w:rsidRPr="0017747A">
              <w:rPr>
                <w:spacing w:val="-9"/>
                <w:sz w:val="14"/>
                <w:szCs w:val="14"/>
              </w:rPr>
              <w:t>(</w:t>
            </w:r>
            <w:proofErr w:type="gramStart"/>
            <w:r w:rsidRPr="0017747A">
              <w:rPr>
                <w:spacing w:val="-9"/>
                <w:sz w:val="14"/>
                <w:szCs w:val="14"/>
              </w:rPr>
              <w:t>1)+(</w:t>
            </w:r>
            <w:proofErr w:type="gramEnd"/>
            <w:r w:rsidRPr="0017747A">
              <w:rPr>
                <w:spacing w:val="-9"/>
                <w:sz w:val="14"/>
                <w:szCs w:val="14"/>
              </w:rPr>
              <w:t>2)+(3)+(4)+(5)</w:t>
            </w:r>
          </w:p>
        </w:tc>
      </w:tr>
      <w:tr w:rsidR="00BC4281" w14:paraId="39E577AC" w14:textId="77777777" w:rsidTr="0063685B">
        <w:trPr>
          <w:trHeight w:val="57"/>
        </w:trPr>
        <w:tc>
          <w:tcPr>
            <w:tcW w:w="277" w:type="dxa"/>
            <w:tcBorders>
              <w:left w:val="nil"/>
              <w:bottom w:val="nil"/>
            </w:tcBorders>
          </w:tcPr>
          <w:p w14:paraId="50AE91AE" w14:textId="77777777" w:rsidR="00BC4281" w:rsidRDefault="00BC4281" w:rsidP="0063685B">
            <w:pPr>
              <w:keepNext/>
              <w:spacing w:after="0"/>
              <w:jc w:val="center"/>
            </w:pPr>
          </w:p>
        </w:tc>
        <w:tc>
          <w:tcPr>
            <w:tcW w:w="567" w:type="dxa"/>
            <w:vAlign w:val="center"/>
          </w:tcPr>
          <w:p w14:paraId="5417A86F" w14:textId="77777777" w:rsidR="00BC4281" w:rsidRDefault="00BC4281" w:rsidP="0063685B">
            <w:pPr>
              <w:keepNext/>
              <w:spacing w:after="0"/>
              <w:jc w:val="center"/>
            </w:pPr>
          </w:p>
        </w:tc>
        <w:tc>
          <w:tcPr>
            <w:tcW w:w="2486" w:type="dxa"/>
            <w:gridSpan w:val="6"/>
            <w:shd w:val="clear" w:color="auto" w:fill="FFF2CC" w:themeFill="accent4" w:themeFillTint="33"/>
            <w:vAlign w:val="center"/>
          </w:tcPr>
          <w:p w14:paraId="2AA59D91" w14:textId="77777777" w:rsidR="00BC4281" w:rsidRPr="005F5A7A" w:rsidRDefault="00BC4281" w:rsidP="0063685B">
            <w:pPr>
              <w:keepNext/>
              <w:spacing w:after="0"/>
              <w:jc w:val="center"/>
              <w:rPr>
                <w:sz w:val="16"/>
                <w:szCs w:val="16"/>
              </w:rPr>
            </w:pPr>
            <w:r>
              <w:rPr>
                <w:noProof/>
                <w:sz w:val="16"/>
                <w:szCs w:val="16"/>
              </w:rPr>
              <mc:AlternateContent>
                <mc:Choice Requires="wps">
                  <w:drawing>
                    <wp:inline distT="0" distB="0" distL="0" distR="0" wp14:anchorId="5DED347A" wp14:editId="7003081B">
                      <wp:extent cx="1548000" cy="270000"/>
                      <wp:effectExtent l="0" t="0" r="0" b="0"/>
                      <wp:docPr id="1600713131" name="Cuadro de texto 1600713131"/>
                      <wp:cNvGraphicFramePr/>
                      <a:graphic xmlns:a="http://schemas.openxmlformats.org/drawingml/2006/main">
                        <a:graphicData uri="http://schemas.microsoft.com/office/word/2010/wordprocessingShape">
                          <wps:wsp>
                            <wps:cNvSpPr txBox="1"/>
                            <wps:spPr>
                              <a:xfrm>
                                <a:off x="0" y="0"/>
                                <a:ext cx="1548000" cy="270000"/>
                              </a:xfrm>
                              <a:prstGeom prst="rect">
                                <a:avLst/>
                              </a:prstGeom>
                              <a:gradFill flip="none" rotWithShape="1">
                                <a:gsLst>
                                  <a:gs pos="0">
                                    <a:srgbClr val="FFCCFF">
                                      <a:lumMod val="96000"/>
                                    </a:srgbClr>
                                  </a:gs>
                                  <a:gs pos="100000">
                                    <a:schemeClr val="accent4">
                                      <a:lumMod val="20000"/>
                                      <a:lumOff val="80000"/>
                                    </a:schemeClr>
                                  </a:gs>
                                  <a:gs pos="89000">
                                    <a:srgbClr val="FFCCFF"/>
                                  </a:gs>
                                  <a:gs pos="78000">
                                    <a:schemeClr val="accent4">
                                      <a:lumMod val="20000"/>
                                      <a:lumOff val="80000"/>
                                    </a:schemeClr>
                                  </a:gs>
                                  <a:gs pos="67000">
                                    <a:srgbClr val="FFCCFF"/>
                                  </a:gs>
                                  <a:gs pos="56000">
                                    <a:schemeClr val="accent4">
                                      <a:lumMod val="20000"/>
                                      <a:lumOff val="80000"/>
                                    </a:schemeClr>
                                  </a:gs>
                                  <a:gs pos="44000">
                                    <a:srgbClr val="FFCCFF"/>
                                  </a:gs>
                                  <a:gs pos="33000">
                                    <a:schemeClr val="accent4">
                                      <a:lumMod val="20000"/>
                                      <a:lumOff val="80000"/>
                                    </a:schemeClr>
                                  </a:gs>
                                  <a:gs pos="22000">
                                    <a:srgbClr val="FFCCFF"/>
                                  </a:gs>
                                  <a:gs pos="11000">
                                    <a:schemeClr val="accent4">
                                      <a:lumMod val="20000"/>
                                      <a:lumOff val="80000"/>
                                    </a:schemeClr>
                                  </a:gs>
                                </a:gsLst>
                                <a:lin ang="5400000" scaled="1"/>
                                <a:tileRect/>
                              </a:gradFill>
                              <a:ln w="6350">
                                <a:noFill/>
                              </a:ln>
                            </wps:spPr>
                            <wps:txbx>
                              <w:txbxContent>
                                <w:p w14:paraId="64DA0FB8" w14:textId="77777777" w:rsidR="00BC4281" w:rsidRDefault="00BC4281" w:rsidP="00BC4281">
                                  <w:pPr>
                                    <w:spacing w:after="0" w:line="204" w:lineRule="auto"/>
                                    <w:jc w:val="center"/>
                                  </w:pPr>
                                  <w:r>
                                    <w:rPr>
                                      <w:sz w:val="16"/>
                                      <w:szCs w:val="16"/>
                                    </w:rPr>
                                    <w:t>Consumo intermedio</w:t>
                                  </w:r>
                                  <w:r>
                                    <w:rPr>
                                      <w:sz w:val="16"/>
                                      <w:szCs w:val="16"/>
                                    </w:rPr>
                                    <w:br/>
                                  </w:r>
                                  <w:r w:rsidRPr="005F5A7A">
                                    <w:rPr>
                                      <w:sz w:val="16"/>
                                      <w:szCs w:val="16"/>
                                    </w:rPr>
                                    <w:t>por ramas de actividad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5DED347A" id="Cuadro de texto 1600713131" o:spid="_x0000_s1032" type="#_x0000_t202" style="width:121.9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" fillcolor="#ffbaff" stroked="f" strokeweight=".5pt">
                      <v:fill color2="#fff2cc [663]" rotate="t" colors="0 #ffbaff;7209f #fff2cc;14418f #fcf;21627f #fff2cc;28836f #fcf;36700f #fff2cc;43909f #fcf;51118f #fff2cc;58327f #fcf;1 #fff2cc" focus="100%" type="gradient"/>
                      <v:textbox inset="0,0,0,0">
                        <w:txbxContent>
                          <w:p w14:paraId="64DA0FB8" w14:textId="77777777" w:rsidR="00BC4281" w:rsidRDefault="00BC4281" w:rsidP="00BC4281">
                            <w:pPr>
                              <w:spacing w:after="0" w:line="204" w:lineRule="auto"/>
                              <w:jc w:val="center"/>
                            </w:pPr>
                            <w:r>
                              <w:rPr>
                                <w:sz w:val="16"/>
                                <w:szCs w:val="16"/>
                              </w:rPr>
                              <w:t>Consumo intermedio</w:t>
                            </w:r>
                            <w:r>
                              <w:rPr>
                                <w:sz w:val="16"/>
                                <w:szCs w:val="16"/>
                              </w:rPr>
                              <w:br/>
                            </w:r>
                            <w:r w:rsidRPr="005F5A7A">
                              <w:rPr>
                                <w:sz w:val="16"/>
                                <w:szCs w:val="16"/>
                              </w:rPr>
                              <w:t>por ramas de actividad</w:t>
                            </w:r>
                          </w:p>
                        </w:txbxContent>
                      </v:textbox>
                      <w10:anchorlock/>
                    </v:shape>
                  </w:pict>
                </mc:Fallback>
              </mc:AlternateContent>
            </w:r>
          </w:p>
        </w:tc>
        <w:tc>
          <w:tcPr>
            <w:tcW w:w="925" w:type="dxa"/>
            <w:tcBorders>
              <w:bottom w:val="single" w:sz="4" w:space="0" w:color="auto"/>
            </w:tcBorders>
            <w:shd w:val="clear" w:color="auto" w:fill="FFF2CC" w:themeFill="accent4" w:themeFillTint="33"/>
            <w:vAlign w:val="center"/>
          </w:tcPr>
          <w:p w14:paraId="2E9A8517" w14:textId="77777777" w:rsidR="00BC4281" w:rsidRPr="005F5A7A" w:rsidRDefault="00BC4281" w:rsidP="0063685B">
            <w:pPr>
              <w:keepNext/>
              <w:spacing w:after="0"/>
              <w:jc w:val="center"/>
              <w:rPr>
                <w:sz w:val="16"/>
                <w:szCs w:val="16"/>
              </w:rPr>
            </w:pPr>
            <w:r>
              <w:rPr>
                <w:noProof/>
                <w:sz w:val="16"/>
                <w:szCs w:val="16"/>
              </w:rPr>
              <mc:AlternateContent>
                <mc:Choice Requires="wps">
                  <w:drawing>
                    <wp:inline distT="0" distB="0" distL="0" distR="0" wp14:anchorId="3F5AE134" wp14:editId="1C7E693A">
                      <wp:extent cx="566057" cy="270000"/>
                      <wp:effectExtent l="0" t="0" r="5715" b="0"/>
                      <wp:docPr id="40" name="Cuadro de texto 40"/>
                      <wp:cNvGraphicFramePr/>
                      <a:graphic xmlns:a="http://schemas.openxmlformats.org/drawingml/2006/main">
                        <a:graphicData uri="http://schemas.microsoft.com/office/word/2010/wordprocessingShape">
                          <wps:wsp>
                            <wps:cNvSpPr txBox="1"/>
                            <wps:spPr>
                              <a:xfrm>
                                <a:off x="0" y="0"/>
                                <a:ext cx="566057" cy="270000"/>
                              </a:xfrm>
                              <a:prstGeom prst="rect">
                                <a:avLst/>
                              </a:prstGeom>
                              <a:gradFill flip="none" rotWithShape="1">
                                <a:gsLst>
                                  <a:gs pos="0">
                                    <a:srgbClr val="FFCCFF">
                                      <a:lumMod val="96000"/>
                                    </a:srgbClr>
                                  </a:gs>
                                  <a:gs pos="100000">
                                    <a:schemeClr val="accent6">
                                      <a:lumMod val="20000"/>
                                      <a:lumOff val="80000"/>
                                    </a:schemeClr>
                                  </a:gs>
                                  <a:gs pos="88000">
                                    <a:schemeClr val="accent4">
                                      <a:lumMod val="20000"/>
                                      <a:lumOff val="80000"/>
                                    </a:schemeClr>
                                  </a:gs>
                                  <a:gs pos="75000">
                                    <a:srgbClr val="FFCCFF"/>
                                  </a:gs>
                                  <a:gs pos="62000">
                                    <a:schemeClr val="accent6">
                                      <a:lumMod val="20000"/>
                                      <a:lumOff val="80000"/>
                                    </a:schemeClr>
                                  </a:gs>
                                  <a:gs pos="50000">
                                    <a:schemeClr val="accent4">
                                      <a:lumMod val="20000"/>
                                      <a:lumOff val="80000"/>
                                    </a:schemeClr>
                                  </a:gs>
                                  <a:gs pos="37000">
                                    <a:srgbClr val="FFCCFF"/>
                                  </a:gs>
                                  <a:gs pos="25000">
                                    <a:schemeClr val="accent6">
                                      <a:lumMod val="20000"/>
                                      <a:lumOff val="80000"/>
                                    </a:schemeClr>
                                  </a:gs>
                                  <a:gs pos="12000">
                                    <a:schemeClr val="accent4">
                                      <a:lumMod val="20000"/>
                                      <a:lumOff val="80000"/>
                                    </a:schemeClr>
                                  </a:gs>
                                </a:gsLst>
                                <a:lin ang="13500000" scaled="1"/>
                                <a:tileRect/>
                              </a:gradFill>
                              <a:ln w="6350">
                                <a:noFill/>
                              </a:ln>
                            </wps:spPr>
                            <wps:txbx>
                              <w:txbxContent>
                                <w:p w14:paraId="1C99F7D0" w14:textId="77777777" w:rsidR="00BC4281" w:rsidRPr="00D91FC0" w:rsidRDefault="00BC4281" w:rsidP="00BC4281">
                                  <w:pPr>
                                    <w:spacing w:after="0" w:line="204" w:lineRule="auto"/>
                                    <w:jc w:val="center"/>
                                    <w:rPr>
                                      <w:color w:val="000000" w:themeColor="text1"/>
                                    </w:rPr>
                                  </w:pPr>
                                  <w:r>
                                    <w:rPr>
                                      <w:sz w:val="16"/>
                                      <w:szCs w:val="16"/>
                                    </w:rPr>
                                    <w:t>Consumos intermedios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3F5AE134" id="Cuadro de texto 40" o:spid="_x0000_s1033" type="#_x0000_t202" style="width:44.5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" fillcolor="#ffbaff" stroked="f" strokeweight=".5pt">
                      <v:fill color2="#e2efd9 [665]" rotate="t" angle="225" colors="0 #ffbaff;7864f #fff2cc;.25 #e2f0d9;24248f #fcf;.5 #fff2cc;40632f #e2f0d9;.75 #fcf;57672f #fff2cc;1 #e2f0d9" focus="100%" type="gradient"/>
                      <v:textbox inset="0,0,0,0">
                        <w:txbxContent>
                          <w:p w14:paraId="1C99F7D0" w14:textId="77777777" w:rsidR="00BC4281" w:rsidRPr="00D91FC0" w:rsidRDefault="00BC4281" w:rsidP="00BC4281">
                            <w:pPr>
                              <w:spacing w:after="0" w:line="204" w:lineRule="auto"/>
                              <w:jc w:val="center"/>
                              <w:rPr>
                                <w:color w:val="000000" w:themeColor="text1"/>
                              </w:rPr>
                            </w:pPr>
                            <w:r>
                              <w:rPr>
                                <w:sz w:val="16"/>
                                <w:szCs w:val="16"/>
                              </w:rPr>
                              <w:t>Consumos intermedios</w:t>
                            </w:r>
                          </w:p>
                        </w:txbxContent>
                      </v:textbox>
                      <w10:anchorlock/>
                    </v:shape>
                  </w:pict>
                </mc:Fallback>
              </mc:AlternateContent>
            </w:r>
          </w:p>
        </w:tc>
        <w:tc>
          <w:tcPr>
            <w:tcW w:w="851" w:type="dxa"/>
            <w:tcBorders>
              <w:bottom w:val="single" w:sz="4" w:space="0" w:color="auto"/>
            </w:tcBorders>
            <w:shd w:val="clear" w:color="auto" w:fill="E2EFD9" w:themeFill="accent6" w:themeFillTint="33"/>
            <w:vAlign w:val="center"/>
          </w:tcPr>
          <w:p w14:paraId="78F08CC8" w14:textId="77777777" w:rsidR="00BC4281" w:rsidRPr="005F5A7A" w:rsidRDefault="00BC4281" w:rsidP="0063685B">
            <w:pPr>
              <w:keepNext/>
              <w:spacing w:after="0"/>
              <w:jc w:val="center"/>
              <w:rPr>
                <w:sz w:val="16"/>
                <w:szCs w:val="16"/>
              </w:rPr>
            </w:pPr>
            <w:proofErr w:type="spellStart"/>
            <w:r w:rsidRPr="00BE1D0C">
              <w:rPr>
                <w:sz w:val="14"/>
                <w:szCs w:val="18"/>
              </w:rPr>
              <w:t>Consumo</w:t>
            </w:r>
            <w:proofErr w:type="spellEnd"/>
            <w:r w:rsidRPr="00BE1D0C">
              <w:rPr>
                <w:sz w:val="14"/>
                <w:szCs w:val="18"/>
              </w:rPr>
              <w:t xml:space="preserve"> individual</w:t>
            </w:r>
          </w:p>
        </w:tc>
        <w:tc>
          <w:tcPr>
            <w:tcW w:w="709" w:type="dxa"/>
            <w:tcBorders>
              <w:bottom w:val="single" w:sz="4" w:space="0" w:color="auto"/>
            </w:tcBorders>
            <w:shd w:val="clear" w:color="auto" w:fill="E2EFD9" w:themeFill="accent6" w:themeFillTint="33"/>
            <w:vAlign w:val="center"/>
          </w:tcPr>
          <w:p w14:paraId="3F55D529" w14:textId="77777777" w:rsidR="00BC4281" w:rsidRPr="005F5A7A" w:rsidRDefault="00BC4281" w:rsidP="0063685B">
            <w:pPr>
              <w:keepNext/>
              <w:spacing w:after="0"/>
              <w:jc w:val="center"/>
              <w:rPr>
                <w:sz w:val="16"/>
                <w:szCs w:val="16"/>
              </w:rPr>
            </w:pPr>
            <w:proofErr w:type="spellStart"/>
            <w:r w:rsidRPr="00BE1D0C">
              <w:rPr>
                <w:sz w:val="14"/>
                <w:szCs w:val="18"/>
              </w:rPr>
              <w:t>Consumo</w:t>
            </w:r>
            <w:proofErr w:type="spellEnd"/>
            <w:r w:rsidRPr="00BE1D0C">
              <w:rPr>
                <w:sz w:val="14"/>
                <w:szCs w:val="18"/>
              </w:rPr>
              <w:t xml:space="preserve"> colectivo</w:t>
            </w:r>
          </w:p>
        </w:tc>
        <w:tc>
          <w:tcPr>
            <w:tcW w:w="1134" w:type="dxa"/>
            <w:tcBorders>
              <w:bottom w:val="single" w:sz="4" w:space="0" w:color="auto"/>
            </w:tcBorders>
            <w:shd w:val="clear" w:color="auto" w:fill="E2EFD9" w:themeFill="accent6" w:themeFillTint="33"/>
            <w:vAlign w:val="center"/>
          </w:tcPr>
          <w:p w14:paraId="5ADF4D26" w14:textId="77777777" w:rsidR="00BC4281" w:rsidRPr="005F5A7A" w:rsidRDefault="00BC4281" w:rsidP="0063685B">
            <w:pPr>
              <w:keepNext/>
              <w:spacing w:after="0"/>
              <w:jc w:val="center"/>
              <w:rPr>
                <w:sz w:val="16"/>
                <w:szCs w:val="16"/>
              </w:rPr>
            </w:pPr>
            <w:proofErr w:type="spellStart"/>
            <w:r w:rsidRPr="00BE1D0C">
              <w:rPr>
                <w:sz w:val="14"/>
                <w:szCs w:val="18"/>
              </w:rPr>
              <w:t>Formación</w:t>
            </w:r>
            <w:proofErr w:type="spellEnd"/>
            <w:r w:rsidRPr="00BE1D0C">
              <w:rPr>
                <w:sz w:val="14"/>
                <w:szCs w:val="18"/>
              </w:rPr>
              <w:t xml:space="preserve"> </w:t>
            </w:r>
            <w:proofErr w:type="spellStart"/>
            <w:r w:rsidRPr="00BE1D0C">
              <w:rPr>
                <w:sz w:val="14"/>
                <w:szCs w:val="18"/>
              </w:rPr>
              <w:t>bruta</w:t>
            </w:r>
            <w:proofErr w:type="spellEnd"/>
            <w:r w:rsidRPr="00BE1D0C">
              <w:rPr>
                <w:sz w:val="14"/>
                <w:szCs w:val="18"/>
              </w:rPr>
              <w:t xml:space="preserve"> de capital</w:t>
            </w:r>
          </w:p>
        </w:tc>
        <w:tc>
          <w:tcPr>
            <w:tcW w:w="993" w:type="dxa"/>
            <w:tcBorders>
              <w:bottom w:val="single" w:sz="4" w:space="0" w:color="auto"/>
            </w:tcBorders>
            <w:shd w:val="clear" w:color="auto" w:fill="E2EFD9" w:themeFill="accent6" w:themeFillTint="33"/>
            <w:vAlign w:val="center"/>
          </w:tcPr>
          <w:p w14:paraId="439FA10B" w14:textId="77777777" w:rsidR="00BC4281" w:rsidRPr="005F5A7A" w:rsidRDefault="00BC4281" w:rsidP="0063685B">
            <w:pPr>
              <w:keepNext/>
              <w:spacing w:after="0"/>
              <w:jc w:val="center"/>
              <w:rPr>
                <w:sz w:val="16"/>
                <w:szCs w:val="16"/>
              </w:rPr>
            </w:pPr>
            <w:proofErr w:type="spellStart"/>
            <w:r w:rsidRPr="00BE1D0C">
              <w:rPr>
                <w:sz w:val="14"/>
                <w:szCs w:val="18"/>
              </w:rPr>
              <w:t>Exportaciones</w:t>
            </w:r>
            <w:proofErr w:type="spellEnd"/>
          </w:p>
        </w:tc>
        <w:tc>
          <w:tcPr>
            <w:tcW w:w="993" w:type="dxa"/>
            <w:tcBorders>
              <w:bottom w:val="single" w:sz="4" w:space="0" w:color="auto"/>
            </w:tcBorders>
            <w:shd w:val="clear" w:color="auto" w:fill="E2EFD9" w:themeFill="accent6" w:themeFillTint="33"/>
            <w:vAlign w:val="center"/>
          </w:tcPr>
          <w:p w14:paraId="5DF1EE99" w14:textId="77777777" w:rsidR="00BC4281" w:rsidRPr="005F5A7A" w:rsidRDefault="00BC4281" w:rsidP="0063685B">
            <w:pPr>
              <w:keepNext/>
              <w:spacing w:after="0"/>
              <w:jc w:val="center"/>
              <w:rPr>
                <w:sz w:val="16"/>
                <w:szCs w:val="16"/>
              </w:rPr>
            </w:pPr>
            <w:proofErr w:type="spellStart"/>
            <w:r>
              <w:rPr>
                <w:sz w:val="16"/>
                <w:szCs w:val="16"/>
              </w:rPr>
              <w:t>Demanda</w:t>
            </w:r>
            <w:proofErr w:type="spellEnd"/>
            <w:r>
              <w:rPr>
                <w:sz w:val="16"/>
                <w:szCs w:val="16"/>
              </w:rPr>
              <w:t xml:space="preserve"> final</w:t>
            </w:r>
          </w:p>
        </w:tc>
        <w:tc>
          <w:tcPr>
            <w:tcW w:w="993" w:type="dxa"/>
            <w:gridSpan w:val="2"/>
            <w:tcBorders>
              <w:bottom w:val="single" w:sz="4" w:space="0" w:color="auto"/>
            </w:tcBorders>
            <w:shd w:val="clear" w:color="auto" w:fill="E2EFD9" w:themeFill="accent6" w:themeFillTint="33"/>
            <w:vAlign w:val="center"/>
          </w:tcPr>
          <w:p w14:paraId="255B47FD" w14:textId="77777777" w:rsidR="00BC4281" w:rsidRPr="005F5A7A" w:rsidRDefault="00BC4281" w:rsidP="0063685B">
            <w:pPr>
              <w:keepNext/>
              <w:spacing w:after="0"/>
              <w:jc w:val="center"/>
              <w:rPr>
                <w:sz w:val="16"/>
                <w:szCs w:val="16"/>
              </w:rPr>
            </w:pPr>
            <w:r>
              <w:rPr>
                <w:sz w:val="16"/>
                <w:szCs w:val="16"/>
              </w:rPr>
              <w:t xml:space="preserve">Total </w:t>
            </w:r>
            <w:proofErr w:type="spellStart"/>
            <w:r>
              <w:rPr>
                <w:sz w:val="16"/>
                <w:szCs w:val="16"/>
              </w:rPr>
              <w:t>empleos</w:t>
            </w:r>
            <w:proofErr w:type="spellEnd"/>
          </w:p>
        </w:tc>
      </w:tr>
      <w:tr w:rsidR="00BC4281" w14:paraId="6C05A95E" w14:textId="77777777" w:rsidTr="0063685B">
        <w:trPr>
          <w:gridAfter w:val="1"/>
          <w:wAfter w:w="18" w:type="dxa"/>
          <w:trHeight w:val="57"/>
        </w:trPr>
        <w:tc>
          <w:tcPr>
            <w:tcW w:w="277" w:type="dxa"/>
            <w:tcBorders>
              <w:top w:val="nil"/>
              <w:left w:val="nil"/>
              <w:bottom w:val="nil"/>
            </w:tcBorders>
          </w:tcPr>
          <w:p w14:paraId="332CD541" w14:textId="77777777" w:rsidR="00BC4281" w:rsidRDefault="00BC4281" w:rsidP="0063685B">
            <w:pPr>
              <w:keepNext/>
              <w:spacing w:after="0"/>
              <w:jc w:val="center"/>
            </w:pPr>
          </w:p>
        </w:tc>
        <w:tc>
          <w:tcPr>
            <w:tcW w:w="567" w:type="dxa"/>
            <w:vAlign w:val="center"/>
          </w:tcPr>
          <w:p w14:paraId="59FDFB4C" w14:textId="77777777" w:rsidR="00BC4281" w:rsidRDefault="00BC4281" w:rsidP="0063685B">
            <w:pPr>
              <w:keepNext/>
              <w:spacing w:after="0"/>
              <w:jc w:val="center"/>
            </w:pPr>
            <w:r>
              <w:t>RA</w:t>
            </w:r>
          </w:p>
        </w:tc>
        <w:tc>
          <w:tcPr>
            <w:tcW w:w="2486" w:type="dxa"/>
            <w:gridSpan w:val="6"/>
            <w:shd w:val="clear" w:color="auto" w:fill="FFCCFF"/>
            <w:vAlign w:val="center"/>
          </w:tcPr>
          <w:p w14:paraId="7F9E86E5" w14:textId="77777777" w:rsidR="00BC4281" w:rsidRPr="008B0642" w:rsidRDefault="00BC4281" w:rsidP="0063685B">
            <w:pPr>
              <w:keepNext/>
              <w:spacing w:after="0"/>
              <w:jc w:val="left"/>
              <w:rPr>
                <w:spacing w:val="-2"/>
                <w:sz w:val="16"/>
                <w:szCs w:val="16"/>
              </w:rPr>
            </w:pPr>
            <w:proofErr w:type="spellStart"/>
            <w:r>
              <w:rPr>
                <w:spacing w:val="-2"/>
                <w:sz w:val="16"/>
                <w:szCs w:val="16"/>
              </w:rPr>
              <w:t>Remuneración</w:t>
            </w:r>
            <w:proofErr w:type="spellEnd"/>
            <w:r>
              <w:rPr>
                <w:spacing w:val="-2"/>
                <w:sz w:val="16"/>
                <w:szCs w:val="16"/>
              </w:rPr>
              <w:t xml:space="preserve"> de </w:t>
            </w:r>
            <w:proofErr w:type="spellStart"/>
            <w:r>
              <w:rPr>
                <w:spacing w:val="-2"/>
                <w:sz w:val="16"/>
                <w:szCs w:val="16"/>
              </w:rPr>
              <w:t>asalariados</w:t>
            </w:r>
            <w:proofErr w:type="spellEnd"/>
          </w:p>
        </w:tc>
        <w:tc>
          <w:tcPr>
            <w:tcW w:w="925" w:type="dxa"/>
            <w:tcBorders>
              <w:bottom w:val="nil"/>
              <w:right w:val="nil"/>
            </w:tcBorders>
            <w:shd w:val="clear" w:color="auto" w:fill="FFCCFF"/>
            <w:vAlign w:val="center"/>
          </w:tcPr>
          <w:p w14:paraId="7FA9FBCB" w14:textId="77777777" w:rsidR="00BC4281" w:rsidRPr="0017747A" w:rsidRDefault="00BC4281" w:rsidP="0063685B">
            <w:pPr>
              <w:keepNext/>
              <w:spacing w:after="0"/>
              <w:jc w:val="center"/>
              <w:rPr>
                <w:sz w:val="14"/>
                <w:szCs w:val="14"/>
              </w:rPr>
            </w:pPr>
          </w:p>
        </w:tc>
        <w:tc>
          <w:tcPr>
            <w:tcW w:w="5655" w:type="dxa"/>
            <w:gridSpan w:val="6"/>
            <w:vMerge w:val="restart"/>
            <w:tcBorders>
              <w:right w:val="nil"/>
            </w:tcBorders>
            <w:vAlign w:val="center"/>
          </w:tcPr>
          <w:p w14:paraId="372D9DA6" w14:textId="77777777" w:rsidR="00BC4281" w:rsidRDefault="00BC4281" w:rsidP="0063685B">
            <w:pPr>
              <w:keepNext/>
              <w:spacing w:after="0"/>
              <w:jc w:val="center"/>
              <w:rPr>
                <w:sz w:val="16"/>
                <w:szCs w:val="16"/>
              </w:rPr>
            </w:pPr>
          </w:p>
        </w:tc>
      </w:tr>
      <w:tr w:rsidR="00BC4281" w14:paraId="6E89A076" w14:textId="77777777" w:rsidTr="0063685B">
        <w:trPr>
          <w:gridAfter w:val="1"/>
          <w:wAfter w:w="18" w:type="dxa"/>
          <w:trHeight w:val="57"/>
        </w:trPr>
        <w:tc>
          <w:tcPr>
            <w:tcW w:w="277" w:type="dxa"/>
            <w:tcBorders>
              <w:top w:val="nil"/>
              <w:left w:val="nil"/>
              <w:bottom w:val="nil"/>
            </w:tcBorders>
          </w:tcPr>
          <w:p w14:paraId="303F609A" w14:textId="77777777" w:rsidR="00BC4281" w:rsidRDefault="00BC4281" w:rsidP="0063685B">
            <w:pPr>
              <w:keepNext/>
              <w:spacing w:after="0"/>
              <w:jc w:val="center"/>
            </w:pPr>
          </w:p>
        </w:tc>
        <w:tc>
          <w:tcPr>
            <w:tcW w:w="567" w:type="dxa"/>
            <w:vAlign w:val="center"/>
          </w:tcPr>
          <w:p w14:paraId="0A69CBB1" w14:textId="77777777" w:rsidR="00BC4281" w:rsidRDefault="00BC4281" w:rsidP="0063685B">
            <w:pPr>
              <w:keepNext/>
              <w:spacing w:after="0"/>
              <w:jc w:val="center"/>
            </w:pPr>
            <w:r>
              <w:t>EBE</w:t>
            </w:r>
          </w:p>
        </w:tc>
        <w:tc>
          <w:tcPr>
            <w:tcW w:w="2486" w:type="dxa"/>
            <w:gridSpan w:val="6"/>
            <w:shd w:val="clear" w:color="auto" w:fill="FFCCFF"/>
            <w:vAlign w:val="center"/>
          </w:tcPr>
          <w:p w14:paraId="17B7ED51" w14:textId="77777777" w:rsidR="00BC4281" w:rsidRPr="008B0642" w:rsidRDefault="00BC4281" w:rsidP="0063685B">
            <w:pPr>
              <w:keepNext/>
              <w:spacing w:after="0"/>
              <w:jc w:val="left"/>
              <w:rPr>
                <w:spacing w:val="-2"/>
                <w:sz w:val="16"/>
                <w:szCs w:val="16"/>
              </w:rPr>
            </w:pPr>
            <w:proofErr w:type="spellStart"/>
            <w:r w:rsidRPr="008B0642">
              <w:rPr>
                <w:spacing w:val="-2"/>
                <w:sz w:val="16"/>
                <w:szCs w:val="16"/>
              </w:rPr>
              <w:t>Excedente</w:t>
            </w:r>
            <w:proofErr w:type="spellEnd"/>
            <w:r w:rsidRPr="008B0642">
              <w:rPr>
                <w:spacing w:val="-2"/>
                <w:sz w:val="16"/>
                <w:szCs w:val="16"/>
              </w:rPr>
              <w:t xml:space="preserve"> Bruto de </w:t>
            </w:r>
            <w:proofErr w:type="spellStart"/>
            <w:r w:rsidRPr="008B0642">
              <w:rPr>
                <w:spacing w:val="-2"/>
                <w:sz w:val="16"/>
                <w:szCs w:val="16"/>
              </w:rPr>
              <w:t>Explotación</w:t>
            </w:r>
            <w:proofErr w:type="spellEnd"/>
          </w:p>
        </w:tc>
        <w:tc>
          <w:tcPr>
            <w:tcW w:w="925" w:type="dxa"/>
            <w:tcBorders>
              <w:bottom w:val="nil"/>
              <w:right w:val="nil"/>
            </w:tcBorders>
            <w:shd w:val="clear" w:color="auto" w:fill="FFCCFF"/>
            <w:vAlign w:val="center"/>
          </w:tcPr>
          <w:p w14:paraId="0617EFC1" w14:textId="77777777" w:rsidR="00BC4281" w:rsidRPr="0017747A" w:rsidRDefault="00BC4281" w:rsidP="0063685B">
            <w:pPr>
              <w:keepNext/>
              <w:spacing w:after="0"/>
              <w:jc w:val="center"/>
              <w:rPr>
                <w:sz w:val="14"/>
                <w:szCs w:val="14"/>
              </w:rPr>
            </w:pPr>
          </w:p>
        </w:tc>
        <w:tc>
          <w:tcPr>
            <w:tcW w:w="5655" w:type="dxa"/>
            <w:gridSpan w:val="6"/>
            <w:vMerge/>
            <w:tcBorders>
              <w:right w:val="nil"/>
            </w:tcBorders>
            <w:vAlign w:val="center"/>
          </w:tcPr>
          <w:p w14:paraId="5F5582D9" w14:textId="77777777" w:rsidR="00BC4281" w:rsidRDefault="00BC4281" w:rsidP="0063685B">
            <w:pPr>
              <w:keepNext/>
              <w:spacing w:after="0"/>
              <w:jc w:val="center"/>
              <w:rPr>
                <w:sz w:val="16"/>
                <w:szCs w:val="16"/>
              </w:rPr>
            </w:pPr>
          </w:p>
        </w:tc>
      </w:tr>
      <w:tr w:rsidR="00BC4281" w14:paraId="325A6FD8" w14:textId="77777777" w:rsidTr="0063685B">
        <w:trPr>
          <w:gridAfter w:val="1"/>
          <w:wAfter w:w="18" w:type="dxa"/>
          <w:trHeight w:val="57"/>
        </w:trPr>
        <w:tc>
          <w:tcPr>
            <w:tcW w:w="277" w:type="dxa"/>
            <w:tcBorders>
              <w:top w:val="nil"/>
              <w:left w:val="nil"/>
              <w:bottom w:val="nil"/>
            </w:tcBorders>
          </w:tcPr>
          <w:p w14:paraId="30DDC2B5" w14:textId="77777777" w:rsidR="00BC4281" w:rsidRDefault="00BC4281" w:rsidP="0063685B">
            <w:pPr>
              <w:keepNext/>
              <w:spacing w:after="0"/>
              <w:jc w:val="center"/>
            </w:pPr>
          </w:p>
        </w:tc>
        <w:tc>
          <w:tcPr>
            <w:tcW w:w="567" w:type="dxa"/>
            <w:vAlign w:val="center"/>
          </w:tcPr>
          <w:p w14:paraId="46836CB3" w14:textId="77777777" w:rsidR="00BC4281" w:rsidRDefault="00BC4281" w:rsidP="0063685B">
            <w:pPr>
              <w:keepNext/>
              <w:spacing w:after="0"/>
              <w:jc w:val="center"/>
            </w:pPr>
            <w:r>
              <w:t>RX</w:t>
            </w:r>
          </w:p>
        </w:tc>
        <w:tc>
          <w:tcPr>
            <w:tcW w:w="2486" w:type="dxa"/>
            <w:gridSpan w:val="6"/>
            <w:shd w:val="clear" w:color="auto" w:fill="FFCCFF"/>
            <w:vAlign w:val="center"/>
          </w:tcPr>
          <w:p w14:paraId="3AEDEBCA" w14:textId="77777777" w:rsidR="00BC4281" w:rsidRPr="008B0642" w:rsidRDefault="00BC4281" w:rsidP="0063685B">
            <w:pPr>
              <w:keepNext/>
              <w:spacing w:after="0"/>
              <w:jc w:val="left"/>
              <w:rPr>
                <w:spacing w:val="-2"/>
                <w:sz w:val="16"/>
                <w:szCs w:val="16"/>
              </w:rPr>
            </w:pPr>
            <w:r w:rsidRPr="008B0642">
              <w:rPr>
                <w:spacing w:val="-2"/>
                <w:sz w:val="16"/>
                <w:szCs w:val="16"/>
              </w:rPr>
              <w:t xml:space="preserve">Rentas </w:t>
            </w:r>
            <w:proofErr w:type="spellStart"/>
            <w:r w:rsidRPr="008B0642">
              <w:rPr>
                <w:spacing w:val="-2"/>
                <w:sz w:val="16"/>
                <w:szCs w:val="16"/>
              </w:rPr>
              <w:t>Mixtas</w:t>
            </w:r>
            <w:proofErr w:type="spellEnd"/>
          </w:p>
        </w:tc>
        <w:tc>
          <w:tcPr>
            <w:tcW w:w="925" w:type="dxa"/>
            <w:tcBorders>
              <w:bottom w:val="nil"/>
              <w:right w:val="nil"/>
            </w:tcBorders>
            <w:shd w:val="clear" w:color="auto" w:fill="FFCCFF"/>
            <w:vAlign w:val="center"/>
          </w:tcPr>
          <w:p w14:paraId="547B7947" w14:textId="77777777" w:rsidR="00BC4281" w:rsidRPr="0017747A" w:rsidRDefault="00BC4281" w:rsidP="0063685B">
            <w:pPr>
              <w:keepNext/>
              <w:spacing w:after="0"/>
              <w:jc w:val="center"/>
              <w:rPr>
                <w:sz w:val="14"/>
                <w:szCs w:val="14"/>
              </w:rPr>
            </w:pPr>
          </w:p>
        </w:tc>
        <w:tc>
          <w:tcPr>
            <w:tcW w:w="5655" w:type="dxa"/>
            <w:gridSpan w:val="6"/>
            <w:vMerge/>
            <w:tcBorders>
              <w:right w:val="nil"/>
            </w:tcBorders>
            <w:vAlign w:val="center"/>
          </w:tcPr>
          <w:p w14:paraId="1FE86AEB" w14:textId="77777777" w:rsidR="00BC4281" w:rsidRDefault="00BC4281" w:rsidP="0063685B">
            <w:pPr>
              <w:keepNext/>
              <w:spacing w:after="0"/>
              <w:jc w:val="center"/>
              <w:rPr>
                <w:sz w:val="16"/>
                <w:szCs w:val="16"/>
              </w:rPr>
            </w:pPr>
          </w:p>
        </w:tc>
      </w:tr>
      <w:tr w:rsidR="00BC4281" w14:paraId="4312FF9E" w14:textId="77777777" w:rsidTr="0063685B">
        <w:trPr>
          <w:gridAfter w:val="1"/>
          <w:wAfter w:w="18" w:type="dxa"/>
          <w:trHeight w:val="57"/>
        </w:trPr>
        <w:tc>
          <w:tcPr>
            <w:tcW w:w="277" w:type="dxa"/>
            <w:tcBorders>
              <w:top w:val="nil"/>
              <w:left w:val="nil"/>
              <w:bottom w:val="nil"/>
            </w:tcBorders>
          </w:tcPr>
          <w:p w14:paraId="52818D54" w14:textId="77777777" w:rsidR="00BC4281" w:rsidRDefault="00BC4281" w:rsidP="0063685B">
            <w:pPr>
              <w:keepNext/>
              <w:spacing w:after="0"/>
              <w:jc w:val="center"/>
            </w:pPr>
          </w:p>
        </w:tc>
        <w:tc>
          <w:tcPr>
            <w:tcW w:w="567" w:type="dxa"/>
            <w:vAlign w:val="center"/>
          </w:tcPr>
          <w:p w14:paraId="4F17C3E1" w14:textId="77777777" w:rsidR="00BC4281" w:rsidRDefault="00BC4281" w:rsidP="0063685B">
            <w:pPr>
              <w:keepNext/>
              <w:spacing w:after="0"/>
              <w:jc w:val="center"/>
            </w:pPr>
            <w:r>
              <w:t>VA</w:t>
            </w:r>
          </w:p>
        </w:tc>
        <w:tc>
          <w:tcPr>
            <w:tcW w:w="2486" w:type="dxa"/>
            <w:gridSpan w:val="6"/>
            <w:shd w:val="clear" w:color="auto" w:fill="FFCCFF"/>
            <w:vAlign w:val="center"/>
          </w:tcPr>
          <w:p w14:paraId="5DC26BF3" w14:textId="77777777" w:rsidR="00BC4281" w:rsidRPr="008B0642" w:rsidRDefault="00BC4281" w:rsidP="0063685B">
            <w:pPr>
              <w:keepNext/>
              <w:spacing w:after="0"/>
              <w:jc w:val="center"/>
              <w:rPr>
                <w:spacing w:val="-2"/>
                <w:sz w:val="16"/>
                <w:szCs w:val="16"/>
              </w:rPr>
            </w:pPr>
            <w:r w:rsidRPr="008B0642">
              <w:rPr>
                <w:spacing w:val="-2"/>
                <w:sz w:val="16"/>
                <w:szCs w:val="16"/>
              </w:rPr>
              <w:t xml:space="preserve">VAB </w:t>
            </w:r>
            <w:proofErr w:type="spellStart"/>
            <w:r w:rsidRPr="008B0642">
              <w:rPr>
                <w:spacing w:val="-2"/>
                <w:sz w:val="16"/>
                <w:szCs w:val="16"/>
              </w:rPr>
              <w:t>por</w:t>
            </w:r>
            <w:proofErr w:type="spellEnd"/>
            <w:r w:rsidRPr="008B0642">
              <w:rPr>
                <w:spacing w:val="-2"/>
                <w:sz w:val="16"/>
                <w:szCs w:val="16"/>
              </w:rPr>
              <w:t xml:space="preserve"> </w:t>
            </w:r>
            <w:proofErr w:type="spellStart"/>
            <w:r w:rsidRPr="008B0642">
              <w:rPr>
                <w:spacing w:val="-2"/>
                <w:sz w:val="16"/>
                <w:szCs w:val="16"/>
              </w:rPr>
              <w:t>ramas</w:t>
            </w:r>
            <w:proofErr w:type="spellEnd"/>
          </w:p>
        </w:tc>
        <w:tc>
          <w:tcPr>
            <w:tcW w:w="925" w:type="dxa"/>
            <w:tcBorders>
              <w:bottom w:val="single" w:sz="4" w:space="0" w:color="auto"/>
              <w:right w:val="nil"/>
            </w:tcBorders>
            <w:shd w:val="clear" w:color="auto" w:fill="FFCCFF"/>
            <w:vAlign w:val="center"/>
          </w:tcPr>
          <w:p w14:paraId="06B4219F" w14:textId="77777777" w:rsidR="00BC4281" w:rsidRPr="0017747A" w:rsidRDefault="00BC4281" w:rsidP="0063685B">
            <w:pPr>
              <w:keepNext/>
              <w:spacing w:after="0"/>
              <w:jc w:val="center"/>
              <w:rPr>
                <w:sz w:val="14"/>
                <w:szCs w:val="14"/>
              </w:rPr>
            </w:pPr>
            <w:r w:rsidRPr="0017747A">
              <w:rPr>
                <w:sz w:val="14"/>
                <w:szCs w:val="14"/>
              </w:rPr>
              <w:t>=RA+EBE+RX</w:t>
            </w:r>
          </w:p>
        </w:tc>
        <w:tc>
          <w:tcPr>
            <w:tcW w:w="5655" w:type="dxa"/>
            <w:gridSpan w:val="6"/>
            <w:vMerge/>
            <w:tcBorders>
              <w:right w:val="nil"/>
            </w:tcBorders>
            <w:vAlign w:val="center"/>
          </w:tcPr>
          <w:p w14:paraId="477A8A28" w14:textId="77777777" w:rsidR="00BC4281" w:rsidRDefault="00BC4281" w:rsidP="0063685B">
            <w:pPr>
              <w:keepNext/>
              <w:spacing w:after="0"/>
              <w:jc w:val="center"/>
              <w:rPr>
                <w:sz w:val="16"/>
                <w:szCs w:val="16"/>
              </w:rPr>
            </w:pPr>
          </w:p>
        </w:tc>
      </w:tr>
      <w:tr w:rsidR="00BC4281" w14:paraId="13223657" w14:textId="77777777" w:rsidTr="0063685B">
        <w:trPr>
          <w:gridAfter w:val="1"/>
          <w:wAfter w:w="18" w:type="dxa"/>
          <w:trHeight w:val="57"/>
        </w:trPr>
        <w:tc>
          <w:tcPr>
            <w:tcW w:w="277" w:type="dxa"/>
            <w:tcBorders>
              <w:top w:val="nil"/>
              <w:left w:val="nil"/>
              <w:bottom w:val="nil"/>
            </w:tcBorders>
          </w:tcPr>
          <w:p w14:paraId="4AE51721" w14:textId="77777777" w:rsidR="00BC4281" w:rsidRDefault="00BC4281" w:rsidP="0063685B">
            <w:pPr>
              <w:keepNext/>
              <w:spacing w:after="0"/>
              <w:jc w:val="center"/>
            </w:pPr>
          </w:p>
        </w:tc>
        <w:tc>
          <w:tcPr>
            <w:tcW w:w="567" w:type="dxa"/>
            <w:vAlign w:val="center"/>
          </w:tcPr>
          <w:p w14:paraId="51B538CF" w14:textId="77777777" w:rsidR="00BC4281" w:rsidRDefault="00BC4281" w:rsidP="0063685B">
            <w:pPr>
              <w:keepNext/>
              <w:spacing w:after="0"/>
              <w:jc w:val="center"/>
            </w:pPr>
            <w:r>
              <w:t>X</w:t>
            </w:r>
          </w:p>
        </w:tc>
        <w:tc>
          <w:tcPr>
            <w:tcW w:w="2486" w:type="dxa"/>
            <w:gridSpan w:val="6"/>
            <w:shd w:val="clear" w:color="auto" w:fill="FFCCFF"/>
            <w:vAlign w:val="center"/>
          </w:tcPr>
          <w:p w14:paraId="305145A7" w14:textId="77777777" w:rsidR="00BC4281" w:rsidRPr="008B0642" w:rsidRDefault="00BC4281" w:rsidP="0063685B">
            <w:pPr>
              <w:keepNext/>
              <w:spacing w:after="0"/>
              <w:jc w:val="center"/>
              <w:rPr>
                <w:spacing w:val="-4"/>
                <w:sz w:val="16"/>
                <w:szCs w:val="16"/>
              </w:rPr>
            </w:pPr>
            <w:proofErr w:type="spellStart"/>
            <w:r>
              <w:rPr>
                <w:spacing w:val="-4"/>
                <w:sz w:val="16"/>
                <w:szCs w:val="14"/>
              </w:rPr>
              <w:t>Producción</w:t>
            </w:r>
            <w:proofErr w:type="spellEnd"/>
            <w:r>
              <w:rPr>
                <w:spacing w:val="-4"/>
                <w:sz w:val="16"/>
                <w:szCs w:val="14"/>
              </w:rPr>
              <w:t xml:space="preserve"> interna</w:t>
            </w:r>
          </w:p>
        </w:tc>
        <w:tc>
          <w:tcPr>
            <w:tcW w:w="925" w:type="dxa"/>
            <w:tcBorders>
              <w:right w:val="nil"/>
            </w:tcBorders>
            <w:shd w:val="clear" w:color="auto" w:fill="FFCCFF"/>
            <w:vAlign w:val="center"/>
          </w:tcPr>
          <w:p w14:paraId="38E9D316" w14:textId="77777777" w:rsidR="00BC4281" w:rsidRPr="0017747A" w:rsidRDefault="00BC4281" w:rsidP="0063685B">
            <w:pPr>
              <w:keepNext/>
              <w:spacing w:after="0"/>
              <w:jc w:val="center"/>
              <w:rPr>
                <w:sz w:val="14"/>
                <w:szCs w:val="14"/>
              </w:rPr>
            </w:pPr>
            <w:r w:rsidRPr="0017747A">
              <w:rPr>
                <w:sz w:val="14"/>
                <w:szCs w:val="14"/>
              </w:rPr>
              <w:t>=CI+VA</w:t>
            </w:r>
          </w:p>
        </w:tc>
        <w:tc>
          <w:tcPr>
            <w:tcW w:w="5655" w:type="dxa"/>
            <w:gridSpan w:val="6"/>
            <w:vMerge/>
            <w:tcBorders>
              <w:right w:val="nil"/>
            </w:tcBorders>
            <w:vAlign w:val="center"/>
          </w:tcPr>
          <w:p w14:paraId="7D53CE67" w14:textId="77777777" w:rsidR="00BC4281" w:rsidRDefault="00BC4281" w:rsidP="0063685B">
            <w:pPr>
              <w:keepNext/>
              <w:spacing w:after="0"/>
              <w:jc w:val="center"/>
              <w:rPr>
                <w:sz w:val="16"/>
                <w:szCs w:val="16"/>
              </w:rPr>
            </w:pPr>
          </w:p>
        </w:tc>
      </w:tr>
      <w:tr w:rsidR="00BC4281" w14:paraId="7635282B" w14:textId="77777777" w:rsidTr="0063685B">
        <w:trPr>
          <w:gridAfter w:val="1"/>
          <w:wAfter w:w="18" w:type="dxa"/>
          <w:trHeight w:val="57"/>
        </w:trPr>
        <w:tc>
          <w:tcPr>
            <w:tcW w:w="277" w:type="dxa"/>
            <w:tcBorders>
              <w:top w:val="nil"/>
              <w:left w:val="nil"/>
              <w:bottom w:val="nil"/>
            </w:tcBorders>
          </w:tcPr>
          <w:p w14:paraId="228B50E5" w14:textId="77777777" w:rsidR="00BC4281" w:rsidRDefault="00BC4281" w:rsidP="0063685B">
            <w:pPr>
              <w:keepNext/>
              <w:spacing w:after="0"/>
              <w:jc w:val="center"/>
            </w:pPr>
          </w:p>
        </w:tc>
        <w:tc>
          <w:tcPr>
            <w:tcW w:w="567" w:type="dxa"/>
            <w:vAlign w:val="center"/>
          </w:tcPr>
          <w:p w14:paraId="55AB17E3" w14:textId="77777777" w:rsidR="00BC4281" w:rsidRDefault="00BC4281" w:rsidP="0063685B">
            <w:pPr>
              <w:keepNext/>
              <w:spacing w:after="0"/>
              <w:jc w:val="center"/>
            </w:pPr>
            <w:r>
              <w:t>M</w:t>
            </w:r>
          </w:p>
        </w:tc>
        <w:tc>
          <w:tcPr>
            <w:tcW w:w="2486" w:type="dxa"/>
            <w:gridSpan w:val="6"/>
            <w:shd w:val="clear" w:color="auto" w:fill="FFCCFF"/>
            <w:vAlign w:val="center"/>
          </w:tcPr>
          <w:p w14:paraId="1FC0503C" w14:textId="77777777" w:rsidR="00BC4281" w:rsidRPr="008B0642" w:rsidRDefault="00BC4281" w:rsidP="0063685B">
            <w:pPr>
              <w:keepNext/>
              <w:spacing w:after="0"/>
              <w:jc w:val="center"/>
              <w:rPr>
                <w:spacing w:val="-4"/>
                <w:sz w:val="16"/>
                <w:szCs w:val="14"/>
              </w:rPr>
            </w:pPr>
            <w:proofErr w:type="spellStart"/>
            <w:r>
              <w:rPr>
                <w:spacing w:val="-4"/>
                <w:sz w:val="16"/>
                <w:szCs w:val="14"/>
              </w:rPr>
              <w:t>Importaciones</w:t>
            </w:r>
            <w:proofErr w:type="spellEnd"/>
          </w:p>
        </w:tc>
        <w:tc>
          <w:tcPr>
            <w:tcW w:w="925" w:type="dxa"/>
            <w:tcBorders>
              <w:right w:val="nil"/>
            </w:tcBorders>
            <w:shd w:val="clear" w:color="auto" w:fill="FFCCFF"/>
            <w:vAlign w:val="center"/>
          </w:tcPr>
          <w:p w14:paraId="2FD2CF6F" w14:textId="77777777" w:rsidR="00BC4281" w:rsidRPr="0017747A" w:rsidRDefault="00BC4281" w:rsidP="0063685B">
            <w:pPr>
              <w:keepNext/>
              <w:spacing w:after="0"/>
              <w:jc w:val="center"/>
              <w:rPr>
                <w:sz w:val="14"/>
                <w:szCs w:val="14"/>
              </w:rPr>
            </w:pPr>
          </w:p>
        </w:tc>
        <w:tc>
          <w:tcPr>
            <w:tcW w:w="5655" w:type="dxa"/>
            <w:gridSpan w:val="6"/>
            <w:vMerge/>
            <w:tcBorders>
              <w:right w:val="nil"/>
            </w:tcBorders>
            <w:vAlign w:val="center"/>
          </w:tcPr>
          <w:p w14:paraId="456CB3A9" w14:textId="77777777" w:rsidR="00BC4281" w:rsidRDefault="00BC4281" w:rsidP="0063685B">
            <w:pPr>
              <w:keepNext/>
              <w:spacing w:after="0"/>
              <w:jc w:val="center"/>
              <w:rPr>
                <w:sz w:val="16"/>
                <w:szCs w:val="16"/>
              </w:rPr>
            </w:pPr>
          </w:p>
        </w:tc>
      </w:tr>
      <w:tr w:rsidR="00BC4281" w14:paraId="06823C50" w14:textId="77777777" w:rsidTr="0063685B">
        <w:trPr>
          <w:gridAfter w:val="1"/>
          <w:wAfter w:w="18" w:type="dxa"/>
          <w:trHeight w:val="57"/>
        </w:trPr>
        <w:tc>
          <w:tcPr>
            <w:tcW w:w="277" w:type="dxa"/>
            <w:tcBorders>
              <w:top w:val="nil"/>
              <w:left w:val="nil"/>
              <w:bottom w:val="nil"/>
            </w:tcBorders>
          </w:tcPr>
          <w:p w14:paraId="7052E84A" w14:textId="77777777" w:rsidR="00BC4281" w:rsidRDefault="00BC4281" w:rsidP="0063685B">
            <w:pPr>
              <w:keepNext/>
              <w:spacing w:after="0"/>
              <w:jc w:val="center"/>
            </w:pPr>
          </w:p>
        </w:tc>
        <w:tc>
          <w:tcPr>
            <w:tcW w:w="567" w:type="dxa"/>
            <w:vAlign w:val="center"/>
          </w:tcPr>
          <w:p w14:paraId="37A643AA" w14:textId="77777777" w:rsidR="00BC4281" w:rsidRDefault="00BC4281" w:rsidP="0063685B">
            <w:pPr>
              <w:keepNext/>
              <w:spacing w:after="0"/>
              <w:jc w:val="center"/>
            </w:pPr>
            <w:r>
              <w:t>TO</w:t>
            </w:r>
          </w:p>
        </w:tc>
        <w:tc>
          <w:tcPr>
            <w:tcW w:w="2486" w:type="dxa"/>
            <w:gridSpan w:val="6"/>
            <w:shd w:val="clear" w:color="auto" w:fill="FFCCFF"/>
            <w:vAlign w:val="center"/>
          </w:tcPr>
          <w:p w14:paraId="007E9014" w14:textId="77777777" w:rsidR="00BC4281" w:rsidRPr="008B0642" w:rsidRDefault="00BC4281" w:rsidP="0063685B">
            <w:pPr>
              <w:keepNext/>
              <w:spacing w:after="0"/>
              <w:jc w:val="center"/>
              <w:rPr>
                <w:spacing w:val="-4"/>
                <w:sz w:val="16"/>
                <w:szCs w:val="14"/>
              </w:rPr>
            </w:pPr>
            <w:r>
              <w:rPr>
                <w:spacing w:val="-4"/>
                <w:sz w:val="16"/>
                <w:szCs w:val="14"/>
              </w:rPr>
              <w:t xml:space="preserve">Total </w:t>
            </w:r>
            <w:proofErr w:type="spellStart"/>
            <w:r>
              <w:rPr>
                <w:spacing w:val="-4"/>
                <w:sz w:val="16"/>
                <w:szCs w:val="14"/>
              </w:rPr>
              <w:t>oferta</w:t>
            </w:r>
            <w:proofErr w:type="spellEnd"/>
          </w:p>
        </w:tc>
        <w:tc>
          <w:tcPr>
            <w:tcW w:w="925" w:type="dxa"/>
            <w:tcBorders>
              <w:bottom w:val="single" w:sz="4" w:space="0" w:color="auto"/>
              <w:right w:val="nil"/>
            </w:tcBorders>
            <w:shd w:val="clear" w:color="auto" w:fill="FFCCFF"/>
            <w:vAlign w:val="center"/>
          </w:tcPr>
          <w:p w14:paraId="1269EF0A" w14:textId="77777777" w:rsidR="00BC4281" w:rsidRPr="0017747A" w:rsidRDefault="00BC4281" w:rsidP="0063685B">
            <w:pPr>
              <w:keepNext/>
              <w:spacing w:after="0"/>
              <w:jc w:val="center"/>
              <w:rPr>
                <w:sz w:val="14"/>
                <w:szCs w:val="14"/>
              </w:rPr>
            </w:pPr>
            <w:r w:rsidRPr="0017747A">
              <w:rPr>
                <w:sz w:val="14"/>
                <w:szCs w:val="14"/>
              </w:rPr>
              <w:t>=</w:t>
            </w:r>
            <w:r>
              <w:rPr>
                <w:sz w:val="14"/>
                <w:szCs w:val="14"/>
              </w:rPr>
              <w:t>X</w:t>
            </w:r>
            <w:r w:rsidRPr="0017747A">
              <w:rPr>
                <w:sz w:val="14"/>
                <w:szCs w:val="14"/>
              </w:rPr>
              <w:t>+M</w:t>
            </w:r>
          </w:p>
        </w:tc>
        <w:tc>
          <w:tcPr>
            <w:tcW w:w="5655" w:type="dxa"/>
            <w:gridSpan w:val="6"/>
            <w:vMerge/>
            <w:tcBorders>
              <w:bottom w:val="nil"/>
              <w:right w:val="nil"/>
            </w:tcBorders>
            <w:vAlign w:val="center"/>
          </w:tcPr>
          <w:p w14:paraId="050406B7" w14:textId="77777777" w:rsidR="00BC4281" w:rsidRDefault="00BC4281" w:rsidP="0063685B">
            <w:pPr>
              <w:keepNext/>
              <w:spacing w:after="0"/>
              <w:jc w:val="center"/>
              <w:rPr>
                <w:sz w:val="16"/>
                <w:szCs w:val="16"/>
              </w:rPr>
            </w:pPr>
          </w:p>
        </w:tc>
      </w:tr>
    </w:tbl>
    <w:p w14:paraId="26B639FD" w14:textId="77777777" w:rsidR="00BC4281" w:rsidRPr="00CE5AA5" w:rsidRDefault="00BC4281" w:rsidP="00BC4281">
      <w:pPr>
        <w:pStyle w:val="Ttulo6"/>
      </w:pPr>
      <w:bookmarkStart w:id="38" w:name="_Toc177739141"/>
      <w:r w:rsidRPr="008D6CB7">
        <w:t>Limitación</w:t>
      </w:r>
      <w:bookmarkEnd w:id="38"/>
    </w:p>
    <w:p w14:paraId="37DB6199" w14:textId="77777777" w:rsidR="00BC4281" w:rsidRPr="008D6CB7" w:rsidRDefault="00BC4281" w:rsidP="00BC4281">
      <w:pPr>
        <w:pStyle w:val="Nivel2SM"/>
        <w:keepNext/>
        <w:spacing w:after="0"/>
      </w:pPr>
      <w:r w:rsidRPr="008D6CB7">
        <w:t xml:space="preserve">La principal limitación de estas tablas, que contienen una información muy relevante, es su </w:t>
      </w:r>
      <w:r w:rsidRPr="001E23AB">
        <w:rPr>
          <w:b/>
        </w:rPr>
        <w:t>considerable retraso</w:t>
      </w:r>
      <w:r w:rsidRPr="008D6CB7">
        <w:t>.</w:t>
      </w:r>
    </w:p>
    <w:p w14:paraId="763BF761" w14:textId="77777777" w:rsidR="00BC4281" w:rsidRPr="0094046A" w:rsidRDefault="00BC4281" w:rsidP="00BC4281">
      <w:pPr>
        <w:pStyle w:val="Nivel3SM"/>
        <w:rPr>
          <w:spacing w:val="-1"/>
        </w:rPr>
      </w:pPr>
      <w:r w:rsidRPr="0094046A">
        <w:rPr>
          <w:spacing w:val="-1"/>
        </w:rPr>
        <w:t xml:space="preserve">En efecto, las </w:t>
      </w:r>
      <w:r w:rsidRPr="0094046A">
        <w:rPr>
          <w:b/>
          <w:spacing w:val="-1"/>
        </w:rPr>
        <w:t>tablas simétricas</w:t>
      </w:r>
      <w:r w:rsidRPr="0094046A">
        <w:rPr>
          <w:spacing w:val="-1"/>
        </w:rPr>
        <w:t xml:space="preserve"> (que son particularmente útiles por ser una matriz cuadrada que es más aplicable a los modelos de demanda de las TIO) se elaboran </w:t>
      </w:r>
      <w:r w:rsidRPr="0094046A">
        <w:rPr>
          <w:b/>
          <w:spacing w:val="-1"/>
        </w:rPr>
        <w:t>cada 5 años</w:t>
      </w:r>
      <w:r w:rsidRPr="0094046A">
        <w:rPr>
          <w:spacing w:val="-1"/>
        </w:rPr>
        <w:t>.</w:t>
      </w:r>
    </w:p>
    <w:p w14:paraId="758E4B68" w14:textId="77777777" w:rsidR="00BC4281" w:rsidRPr="004B6666" w:rsidRDefault="00BC4281" w:rsidP="00BC4281">
      <w:pPr>
        <w:pStyle w:val="Nivel3SM"/>
      </w:pPr>
      <w:r w:rsidRPr="008D6CB7">
        <w:t>Las tablas de origen y destino en cambio se elaboran anualmente.</w:t>
      </w:r>
    </w:p>
    <w:p w14:paraId="2CB76FE7" w14:textId="77777777" w:rsidR="00BC4281" w:rsidRPr="00824B08" w:rsidRDefault="00BC4281" w:rsidP="00BC4281">
      <w:pPr>
        <w:pStyle w:val="Ttulo3"/>
      </w:pPr>
      <w:bookmarkStart w:id="39" w:name="_Toc177739142"/>
      <w:r>
        <w:t>Sector Exterior</w:t>
      </w:r>
      <w:r w:rsidRPr="007324AF">
        <w:rPr>
          <w:i w:val="0"/>
          <w:iCs w:val="0"/>
          <w:color w:val="767171" w:themeColor="background2" w:themeShade="80"/>
          <w:sz w:val="19"/>
          <w:szCs w:val="19"/>
          <w:u w:val="none"/>
        </w:rPr>
        <w:t xml:space="preserve"> [ver tema 3.</w:t>
      </w:r>
      <w:r>
        <w:rPr>
          <w:i w:val="0"/>
          <w:iCs w:val="0"/>
          <w:color w:val="767171" w:themeColor="background2" w:themeShade="80"/>
          <w:sz w:val="19"/>
          <w:szCs w:val="19"/>
          <w:u w:val="none"/>
        </w:rPr>
        <w:t>B</w:t>
      </w:r>
      <w:r w:rsidRPr="007324AF">
        <w:rPr>
          <w:i w:val="0"/>
          <w:iCs w:val="0"/>
          <w:color w:val="767171" w:themeColor="background2" w:themeShade="80"/>
          <w:sz w:val="19"/>
          <w:szCs w:val="19"/>
          <w:u w:val="none"/>
        </w:rPr>
        <w:t>.</w:t>
      </w:r>
      <w:r>
        <w:rPr>
          <w:i w:val="0"/>
          <w:iCs w:val="0"/>
          <w:color w:val="767171" w:themeColor="background2" w:themeShade="80"/>
          <w:sz w:val="19"/>
          <w:szCs w:val="19"/>
          <w:u w:val="none"/>
        </w:rPr>
        <w:t>12</w:t>
      </w:r>
      <w:r w:rsidRPr="007324AF">
        <w:rPr>
          <w:i w:val="0"/>
          <w:iCs w:val="0"/>
          <w:color w:val="767171" w:themeColor="background2" w:themeShade="80"/>
          <w:sz w:val="19"/>
          <w:szCs w:val="19"/>
          <w:u w:val="none"/>
        </w:rPr>
        <w:t>]</w:t>
      </w:r>
      <w:bookmarkEnd w:id="39"/>
    </w:p>
    <w:p w14:paraId="144CB345" w14:textId="77777777" w:rsidR="00BC4281" w:rsidRPr="00824B08" w:rsidRDefault="00BC4281" w:rsidP="00BC4281">
      <w:pPr>
        <w:pStyle w:val="Ttulo6"/>
        <w:spacing w:before="0"/>
      </w:pPr>
      <w:bookmarkStart w:id="40" w:name="_Toc177739143"/>
      <w:r w:rsidRPr="00194D97">
        <w:t>Balanza de Pagos</w:t>
      </w:r>
      <w:bookmarkEnd w:id="40"/>
    </w:p>
    <w:p w14:paraId="5D861EB1" w14:textId="77777777" w:rsidR="00BC4281" w:rsidRPr="009B4A5E" w:rsidRDefault="00BC4281" w:rsidP="00BC4281">
      <w:pPr>
        <w:pStyle w:val="Prrafodelista"/>
        <w:keepNext/>
        <w:numPr>
          <w:ilvl w:val="0"/>
          <w:numId w:val="59"/>
        </w:numPr>
        <w:spacing w:after="0"/>
        <w:ind w:left="-73" w:hanging="284"/>
        <w:rPr>
          <w:b/>
          <w:bCs/>
        </w:rPr>
      </w:pPr>
      <w:r w:rsidRPr="009B4A5E">
        <w:rPr>
          <w:b/>
          <w:bCs/>
        </w:rPr>
        <w:t>Concepto</w:t>
      </w:r>
    </w:p>
    <w:p w14:paraId="7D544C78" w14:textId="77777777" w:rsidR="00BC4281" w:rsidRDefault="00BC4281" w:rsidP="00BC4281">
      <w:pPr>
        <w:pStyle w:val="Nivel2SM"/>
        <w:keepNext/>
        <w:spacing w:after="0"/>
      </w:pPr>
      <w:r>
        <w:t xml:space="preserve">Las </w:t>
      </w:r>
      <w:r w:rsidRPr="007B7905">
        <w:rPr>
          <w:u w:val="single"/>
        </w:rPr>
        <w:t>cuentas internacionales de una economía</w:t>
      </w:r>
      <w:r>
        <w:t xml:space="preserve"> resumen las relaciones económicas entre residentes de </w:t>
      </w:r>
      <w:proofErr w:type="gramStart"/>
      <w:r>
        <w:t>la misma</w:t>
      </w:r>
      <w:proofErr w:type="gramEnd"/>
      <w:r>
        <w:t xml:space="preserve"> y no residentes. Comprenden la BP, la PII y los otros cambios en la PII.</w:t>
      </w:r>
    </w:p>
    <w:p w14:paraId="260689C9" w14:textId="77777777" w:rsidR="00BC4281" w:rsidRPr="00384790" w:rsidRDefault="00BC4281" w:rsidP="00BC4281">
      <w:pPr>
        <w:pStyle w:val="Nivel3SM"/>
        <w:keepNext/>
        <w:rPr>
          <w:i/>
          <w:iCs/>
        </w:rPr>
      </w:pPr>
      <w:r w:rsidRPr="00384790">
        <w:rPr>
          <w:i/>
          <w:iCs/>
        </w:rPr>
        <w:t>Balanza de Pagos</w:t>
      </w:r>
    </w:p>
    <w:p w14:paraId="63E0B6F7" w14:textId="77777777" w:rsidR="00BC4281" w:rsidRDefault="00BC4281" w:rsidP="00BC4281">
      <w:pPr>
        <w:pStyle w:val="Nivel4"/>
        <w:ind w:left="1474"/>
      </w:pPr>
      <w:r>
        <w:t>E</w:t>
      </w:r>
      <w:r w:rsidRPr="009162AF">
        <w:t xml:space="preserve">s </w:t>
      </w:r>
      <w:r>
        <w:t xml:space="preserve">el </w:t>
      </w:r>
      <w:r w:rsidRPr="003374B5">
        <w:rPr>
          <w:color w:val="C00000"/>
        </w:rPr>
        <w:t>registro sistemático</w:t>
      </w:r>
      <w:r>
        <w:t xml:space="preserve"> y </w:t>
      </w:r>
      <w:r w:rsidRPr="003374B5">
        <w:rPr>
          <w:color w:val="00B050"/>
        </w:rPr>
        <w:t>contable</w:t>
      </w:r>
      <w:r>
        <w:t xml:space="preserve"> de las </w:t>
      </w:r>
      <w:r w:rsidRPr="003374B5">
        <w:rPr>
          <w:color w:val="0070C0"/>
        </w:rPr>
        <w:t xml:space="preserve">transacciones económicas </w:t>
      </w:r>
      <w:r w:rsidRPr="003374B5">
        <w:rPr>
          <w:color w:val="FF6600"/>
        </w:rPr>
        <w:t>entre residentes y no residentes</w:t>
      </w:r>
      <w:r>
        <w:rPr>
          <w:color w:val="FF6600"/>
        </w:rPr>
        <w:t xml:space="preserve"> de un país</w:t>
      </w:r>
      <w:r>
        <w:t xml:space="preserve"> </w:t>
      </w:r>
      <w:r w:rsidRPr="003374B5">
        <w:rPr>
          <w:color w:val="FF33CC"/>
        </w:rPr>
        <w:t>durante un periodo determinado</w:t>
      </w:r>
      <w:r>
        <w:t>.</w:t>
      </w:r>
    </w:p>
    <w:p w14:paraId="3ED7FE7E" w14:textId="77777777" w:rsidR="00BC4281" w:rsidRDefault="00BC4281" w:rsidP="00BC4281">
      <w:pPr>
        <w:pStyle w:val="Nivel3SM"/>
        <w:keepNext/>
      </w:pPr>
      <w:r w:rsidRPr="0076107C">
        <w:t xml:space="preserve">La </w:t>
      </w:r>
      <w:r w:rsidRPr="00384790">
        <w:rPr>
          <w:i/>
          <w:iCs/>
        </w:rPr>
        <w:t>Posición de Inversión Internacional (PII)</w:t>
      </w:r>
      <w:r w:rsidRPr="0076107C">
        <w:t xml:space="preserve"> es un estado que muestra el valor y la composición, en un momento dado, de las tenencias de activos y pasivos financieros frente al exterior.</w:t>
      </w:r>
    </w:p>
    <w:p w14:paraId="7F4AFCAA" w14:textId="77777777" w:rsidR="00BC4281" w:rsidRPr="006833E3" w:rsidRDefault="00BC4281" w:rsidP="00BC4281">
      <w:pPr>
        <w:pStyle w:val="Nivel4"/>
        <w:ind w:left="1474"/>
        <w:rPr>
          <w:spacing w:val="-2"/>
        </w:rPr>
      </w:pPr>
      <w:r w:rsidRPr="006833E3">
        <w:rPr>
          <w:spacing w:val="-2"/>
        </w:rPr>
        <w:t xml:space="preserve">La diferencia entre activos y pasivos es el </w:t>
      </w:r>
      <w:r w:rsidRPr="006833E3">
        <w:rPr>
          <w:i/>
          <w:iCs/>
          <w:spacing w:val="-2"/>
        </w:rPr>
        <w:t>saldo neto de la PII</w:t>
      </w:r>
      <w:r w:rsidRPr="006833E3">
        <w:rPr>
          <w:spacing w:val="-2"/>
        </w:rPr>
        <w:t xml:space="preserve"> y representa el balance financiero de la economía frente al exterior. Puede interpretarse también como el saldo acumulado de las cuentas financieras históricas y como la riqueza externa de un país.</w:t>
      </w:r>
    </w:p>
    <w:p w14:paraId="7ACBFE3D" w14:textId="77777777" w:rsidR="00BC4281" w:rsidRPr="006833E3" w:rsidRDefault="00BC4281" w:rsidP="00BC4281">
      <w:pPr>
        <w:pStyle w:val="Nivel4"/>
        <w:ind w:left="1474"/>
        <w:rPr>
          <w:spacing w:val="-2"/>
        </w:rPr>
      </w:pPr>
      <w:r w:rsidRPr="006833E3">
        <w:rPr>
          <w:spacing w:val="-2"/>
        </w:rPr>
        <w:t>La PII representa un subconjunto de los activos y pasivos incluidos en el balance nacional.</w:t>
      </w:r>
    </w:p>
    <w:p w14:paraId="7EE56D5B" w14:textId="77777777" w:rsidR="00BC4281" w:rsidRDefault="00BC4281" w:rsidP="00BC4281">
      <w:pPr>
        <w:pStyle w:val="Nivel3SM"/>
        <w:keepNext/>
      </w:pPr>
      <w:r w:rsidRPr="00384790">
        <w:rPr>
          <w:i/>
          <w:iCs/>
        </w:rPr>
        <w:t>Cuenta de otras variaciones de los activos y pasivos financieros</w:t>
      </w:r>
    </w:p>
    <w:p w14:paraId="42A13E5C" w14:textId="77777777" w:rsidR="00BC4281" w:rsidRDefault="00BC4281" w:rsidP="00BC4281">
      <w:pPr>
        <w:pStyle w:val="Nivel4"/>
        <w:ind w:left="1474"/>
      </w:pPr>
      <w:r>
        <w:t>Es un estado contable que recoge las variaciones de las PII no suscitadas por las transacciones entre residentes y no residentes, como los efectos valoración y los otros cambios en volumen. Permite conciliar la BP y la PII.</w:t>
      </w:r>
    </w:p>
    <w:p w14:paraId="3EE22477" w14:textId="2EF6E2F9" w:rsidR="00BC4281" w:rsidRPr="00F9158D" w:rsidRDefault="00BC4281" w:rsidP="00BC4281">
      <w:pPr>
        <w:pStyle w:val="Ttuloimagen"/>
        <w:rPr>
          <w:i/>
          <w:iCs/>
          <w:smallCaps w:val="0"/>
        </w:rPr>
      </w:pPr>
      <w:bookmarkStart w:id="41" w:name="_Ref121680762"/>
      <w:r>
        <w:lastRenderedPageBreak/>
        <w:t>Imagen </w:t>
      </w:r>
      <w:r>
        <w:fldChar w:fldCharType="begin"/>
      </w:r>
      <w:r>
        <w:instrText xml:space="preserve"> SEQ Ilustración \* ARABIC </w:instrText>
      </w:r>
      <w:r>
        <w:fldChar w:fldCharType="separate"/>
      </w:r>
      <w:r w:rsidR="00CD41B9">
        <w:t>2</w:t>
      </w:r>
      <w:r>
        <w:fldChar w:fldCharType="end"/>
      </w:r>
      <w:bookmarkEnd w:id="41"/>
      <w:r>
        <w:rPr>
          <w:smallCaps w:val="0"/>
        </w:rPr>
        <w:t xml:space="preserve">.– </w:t>
      </w:r>
      <w:r>
        <w:rPr>
          <w:i/>
          <w:iCs/>
          <w:smallCaps w:val="0"/>
        </w:rPr>
        <w:t>Panorama general de las cuentas internacionales</w:t>
      </w:r>
    </w:p>
    <w:p w14:paraId="049DC94B" w14:textId="77777777" w:rsidR="00BC4281" w:rsidRDefault="00BC4281" w:rsidP="00BC4281">
      <w:pPr>
        <w:pStyle w:val="Imagen"/>
      </w:pPr>
      <w:r>
        <w:drawing>
          <wp:inline distT="0" distB="0" distL="0" distR="0" wp14:anchorId="10BDB502" wp14:editId="58D5CB64">
            <wp:extent cx="3005611" cy="1744980"/>
            <wp:effectExtent l="0" t="0" r="4445" b="7620"/>
            <wp:docPr id="1900223548" name="Imagen 1900223548" descr="Tabla,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a, Gráfico de rectángulos&#10;&#10;Descripción generada automáticamente"/>
                    <pic:cNvPicPr/>
                  </pic:nvPicPr>
                  <pic:blipFill rotWithShape="1">
                    <a:blip r:embed="rId18" cstate="print">
                      <a:extLst>
                        <a:ext uri="{28A0092B-C50C-407E-A947-70E740481C1C}">
                          <a14:useLocalDpi xmlns:a14="http://schemas.microsoft.com/office/drawing/2010/main" val="0"/>
                        </a:ext>
                      </a:extLst>
                    </a:blip>
                    <a:srcRect l="435" r="1410" b="-16"/>
                    <a:stretch/>
                  </pic:blipFill>
                  <pic:spPr bwMode="auto">
                    <a:xfrm>
                      <a:off x="0" y="0"/>
                      <a:ext cx="3027358" cy="1757606"/>
                    </a:xfrm>
                    <a:prstGeom prst="rect">
                      <a:avLst/>
                    </a:prstGeom>
                    <a:ln>
                      <a:noFill/>
                    </a:ln>
                    <a:extLst>
                      <a:ext uri="{53640926-AAD7-44D8-BBD7-CCE9431645EC}">
                        <a14:shadowObscured xmlns:a14="http://schemas.microsoft.com/office/drawing/2010/main"/>
                      </a:ext>
                    </a:extLst>
                  </pic:spPr>
                </pic:pic>
              </a:graphicData>
            </a:graphic>
          </wp:inline>
        </w:drawing>
      </w:r>
    </w:p>
    <w:p w14:paraId="343FF07A" w14:textId="4AF79368" w:rsidR="00BC4281" w:rsidRPr="00F9158D" w:rsidRDefault="00BC4281" w:rsidP="00BC4281">
      <w:pPr>
        <w:pStyle w:val="PiedeImagen"/>
        <w:rPr>
          <w:i w:val="0"/>
          <w:iCs/>
        </w:rPr>
      </w:pPr>
      <w:r>
        <w:t>Fuente</w:t>
      </w:r>
      <w:r>
        <w:rPr>
          <w:i w:val="0"/>
          <w:iCs/>
        </w:rPr>
        <w:t xml:space="preserve">: </w:t>
      </w:r>
      <w:r w:rsidRPr="00F9158D">
        <w:rPr>
          <w:i w:val="0"/>
          <w:iCs/>
        </w:rPr>
        <w:t>Banco de España</w:t>
      </w:r>
      <w:r>
        <w:rPr>
          <w:i w:val="0"/>
          <w:iCs/>
        </w:rPr>
        <w:t xml:space="preserve"> </w:t>
      </w:r>
      <w:r w:rsidRPr="00F9158D">
        <w:rPr>
          <w:i w:val="0"/>
          <w:iCs/>
        </w:rPr>
        <w:t>(202</w:t>
      </w:r>
      <w:r>
        <w:rPr>
          <w:i w:val="0"/>
          <w:iCs/>
        </w:rPr>
        <w:t>2</w:t>
      </w:r>
      <w:r w:rsidRPr="00F9158D">
        <w:rPr>
          <w:i w:val="0"/>
          <w:iCs/>
        </w:rPr>
        <w:t xml:space="preserve">). </w:t>
      </w:r>
      <w:r w:rsidRPr="00F9158D">
        <w:t>Balanza de Pagos y Posición de Inversión Internacional de España: Nota metodológica</w:t>
      </w:r>
      <w:r w:rsidRPr="00F9158D">
        <w:rPr>
          <w:i w:val="0"/>
          <w:iCs/>
        </w:rPr>
        <w:t xml:space="preserve">. </w:t>
      </w:r>
      <w:hyperlink r:id="rId19" w:history="1">
        <w:r w:rsidRPr="00434444">
          <w:rPr>
            <w:rStyle w:val="Hipervnculo"/>
            <w:i w:val="0"/>
            <w:iCs/>
          </w:rPr>
          <w:t>https://www.bde.es/webbde/es/estadis/infoest/htmls/notamet/notametBpPii.pdf</w:t>
        </w:r>
      </w:hyperlink>
    </w:p>
    <w:p w14:paraId="13F954EF" w14:textId="77777777" w:rsidR="00BC4281" w:rsidRPr="009B4A5E" w:rsidRDefault="00BC4281" w:rsidP="00BC4281">
      <w:pPr>
        <w:pStyle w:val="Prrafodelista"/>
        <w:keepNext/>
        <w:numPr>
          <w:ilvl w:val="0"/>
          <w:numId w:val="59"/>
        </w:numPr>
        <w:spacing w:after="0"/>
        <w:ind w:left="0" w:hanging="284"/>
        <w:rPr>
          <w:b/>
          <w:bCs/>
        </w:rPr>
      </w:pPr>
      <w:r w:rsidRPr="009B4A5E">
        <w:rPr>
          <w:b/>
          <w:bCs/>
        </w:rPr>
        <w:t>Estructura básica y relación</w:t>
      </w:r>
    </w:p>
    <w:p w14:paraId="5F3C1BC8" w14:textId="77777777" w:rsidR="00BC4281" w:rsidRPr="006A7D0A" w:rsidRDefault="00BC4281" w:rsidP="00BC4281">
      <w:pPr>
        <w:pStyle w:val="Nivel2SM"/>
        <w:keepNext/>
        <w:spacing w:after="0"/>
        <w:rPr>
          <w:spacing w:val="-2"/>
        </w:rPr>
      </w:pPr>
      <w:r w:rsidRPr="006A7D0A">
        <w:rPr>
          <w:spacing w:val="-2"/>
        </w:rPr>
        <w:t xml:space="preserve">Las operaciones recogidas en la balanza de pagos se dividen en </w:t>
      </w:r>
      <w:r w:rsidRPr="006A7D0A">
        <w:rPr>
          <w:i/>
          <w:iCs/>
          <w:spacing w:val="-2"/>
          <w:u w:val="single"/>
        </w:rPr>
        <w:t>3 </w:t>
      </w:r>
      <w:proofErr w:type="spellStart"/>
      <w:r w:rsidRPr="006A7D0A">
        <w:rPr>
          <w:i/>
          <w:iCs/>
          <w:spacing w:val="-2"/>
          <w:u w:val="single"/>
        </w:rPr>
        <w:t>subbalanzas</w:t>
      </w:r>
      <w:proofErr w:type="spellEnd"/>
      <w:r w:rsidRPr="006A7D0A">
        <w:rPr>
          <w:i/>
          <w:iCs/>
          <w:spacing w:val="-2"/>
          <w:u w:val="single"/>
        </w:rPr>
        <w:t xml:space="preserve"> principales y la PII</w:t>
      </w:r>
      <w:r w:rsidRPr="006A7D0A">
        <w:rPr>
          <w:spacing w:val="-2"/>
        </w:rPr>
        <w:t>:</w:t>
      </w:r>
    </w:p>
    <w:p w14:paraId="2002A206" w14:textId="77777777" w:rsidR="00BC4281" w:rsidRDefault="00BC4281" w:rsidP="00BC4281">
      <w:pPr>
        <w:pStyle w:val="Nivel3SM"/>
        <w:keepNext/>
      </w:pPr>
      <w:r w:rsidRPr="005F18E4">
        <w:rPr>
          <w:i/>
          <w:iCs/>
        </w:rPr>
        <w:t>Cuenta corriente</w:t>
      </w:r>
      <w:r>
        <w:t>:</w:t>
      </w:r>
    </w:p>
    <w:p w14:paraId="200E75E8" w14:textId="77777777" w:rsidR="00BC4281" w:rsidRDefault="00BC4281" w:rsidP="00BC4281">
      <w:pPr>
        <w:pStyle w:val="Nivel4"/>
        <w:ind w:left="1474"/>
      </w:pPr>
      <w:r>
        <w:t xml:space="preserve">Recoge las </w:t>
      </w:r>
      <w:r w:rsidRPr="006C4D99">
        <w:t xml:space="preserve">transacciones no financieras entre residentes y no residentes divididas en </w:t>
      </w:r>
      <w:r>
        <w:t>4 </w:t>
      </w:r>
      <w:r w:rsidRPr="006C4D99">
        <w:t>cuentas</w:t>
      </w:r>
      <w:r>
        <w:t xml:space="preserve">: la cuenta de bienes, la cuenta de servicios, la cuenta de rentas primarias y la cuenta de rentas secundarias. </w:t>
      </w:r>
      <w:r w:rsidRPr="00B345CA">
        <w:t>Las partidas se registran como ingresos y pagos</w:t>
      </w:r>
      <w:r>
        <w:t>.</w:t>
      </w:r>
    </w:p>
    <w:p w14:paraId="65CE01D2" w14:textId="77777777" w:rsidR="00BC4281" w:rsidRDefault="00BC4281" w:rsidP="00BC4281">
      <w:pPr>
        <w:pStyle w:val="Nivel3SM"/>
        <w:keepNext/>
      </w:pPr>
      <w:r w:rsidRPr="005F18E4">
        <w:rPr>
          <w:i/>
          <w:iCs/>
        </w:rPr>
        <w:t>Cuenta de capital</w:t>
      </w:r>
      <w:r>
        <w:t>:</w:t>
      </w:r>
    </w:p>
    <w:p w14:paraId="2B28CC80" w14:textId="77777777" w:rsidR="00BC4281" w:rsidRPr="009C007F" w:rsidRDefault="00BC4281" w:rsidP="00BC4281">
      <w:pPr>
        <w:pStyle w:val="Nivel4"/>
        <w:ind w:left="1474"/>
      </w:pPr>
      <w:r>
        <w:t>Recoge las transacciones no financieras entre residentes y no residentes correspondientes a transferencias de capital o adquisiciones y enajenaciones (</w:t>
      </w:r>
      <w:r w:rsidRPr="00490EC1">
        <w:t>transferencia de un derecho real de un patrimonio a otro</w:t>
      </w:r>
      <w:r>
        <w:t xml:space="preserve">) de activos no financieros no producidos. </w:t>
      </w:r>
      <w:r w:rsidRPr="00B345CA">
        <w:t>Las partidas se registran como ingresos y pagos</w:t>
      </w:r>
      <w:r>
        <w:t>.</w:t>
      </w:r>
    </w:p>
    <w:p w14:paraId="573A23F7" w14:textId="77777777" w:rsidR="00BC4281" w:rsidRPr="00F1518E" w:rsidRDefault="00BC4281" w:rsidP="00BC4281">
      <w:pPr>
        <w:pStyle w:val="Nivel3SM"/>
        <w:keepNext/>
      </w:pPr>
      <w:r w:rsidRPr="005F18E4">
        <w:rPr>
          <w:i/>
          <w:iCs/>
        </w:rPr>
        <w:t>Cuenta financiera y PII</w:t>
      </w:r>
      <w:r w:rsidRPr="00F1518E">
        <w:rPr>
          <w:i/>
          <w:iCs/>
        </w:rPr>
        <w:t xml:space="preserve"> excluyendo el </w:t>
      </w:r>
      <w:r>
        <w:rPr>
          <w:i/>
          <w:iCs/>
        </w:rPr>
        <w:t>banco central</w:t>
      </w:r>
      <w:r>
        <w:t>:</w:t>
      </w:r>
    </w:p>
    <w:p w14:paraId="6C828FEC" w14:textId="77777777" w:rsidR="00BC4281" w:rsidRPr="006B7C80" w:rsidRDefault="00BC4281" w:rsidP="00BC4281">
      <w:pPr>
        <w:pStyle w:val="Nivel4"/>
        <w:keepNext/>
        <w:ind w:left="1474"/>
      </w:pPr>
      <w:r>
        <w:t>Cuenta Financiera:</w:t>
      </w:r>
    </w:p>
    <w:p w14:paraId="67D83EBA" w14:textId="77777777" w:rsidR="00BC4281" w:rsidRPr="006B7C80" w:rsidRDefault="00BC4281" w:rsidP="00BC4281">
      <w:pPr>
        <w:pStyle w:val="Nivel5"/>
        <w:ind w:left="1871"/>
      </w:pPr>
      <w:r w:rsidRPr="00B97031">
        <w:t xml:space="preserve">Recoge las transacciones financieras entre residentes y no residentes divididas en </w:t>
      </w:r>
      <w:r>
        <w:t>3 </w:t>
      </w:r>
      <w:r w:rsidRPr="00B97031">
        <w:t>grandes grupos: IDE, IC y otras inversiones.</w:t>
      </w:r>
      <w:r>
        <w:t xml:space="preserve"> </w:t>
      </w:r>
      <w:r w:rsidRPr="00B345CA">
        <w:t>Las partidas se registran como variación neta de activos y variación neta de pasivos</w:t>
      </w:r>
      <w:r w:rsidRPr="00B97031">
        <w:t>.</w:t>
      </w:r>
    </w:p>
    <w:p w14:paraId="6DEB5848" w14:textId="77777777" w:rsidR="00BC4281" w:rsidRDefault="00BC4281" w:rsidP="00BC4281">
      <w:pPr>
        <w:pStyle w:val="Nivel4"/>
        <w:keepNext/>
        <w:ind w:left="1474"/>
      </w:pPr>
      <w:r>
        <w:t>Posición Inversora Internacional Neta:</w:t>
      </w:r>
    </w:p>
    <w:p w14:paraId="78A6C5E1" w14:textId="77777777" w:rsidR="00BC4281" w:rsidRPr="006B7C80" w:rsidRDefault="00BC4281" w:rsidP="00BC4281">
      <w:pPr>
        <w:pStyle w:val="Nivel5"/>
        <w:ind w:left="1871"/>
      </w:pPr>
      <w:r>
        <w:t>Recoge el stock neto de activos y pasivos financieros. Es decir la suma de las cuentas financieras.</w:t>
      </w:r>
    </w:p>
    <w:p w14:paraId="31022F2B" w14:textId="77777777" w:rsidR="00BC4281" w:rsidRPr="006B7C80" w:rsidRDefault="00BC4281" w:rsidP="00BC4281">
      <w:pPr>
        <w:pStyle w:val="Nivel5"/>
        <w:ind w:left="1871"/>
      </w:pPr>
      <w:r>
        <w:t>No obstante, como acabamos de mencionar también incluye los efectos valoración y otros cambios en volumen.</w:t>
      </w:r>
    </w:p>
    <w:p w14:paraId="3BD843C9" w14:textId="77777777" w:rsidR="00BC4281" w:rsidRPr="00F1518E" w:rsidRDefault="00BC4281" w:rsidP="00BC4281">
      <w:pPr>
        <w:pStyle w:val="Nivel3SM"/>
        <w:keepNext/>
      </w:pPr>
      <w:r w:rsidRPr="00F1518E">
        <w:rPr>
          <w:i/>
          <w:iCs/>
        </w:rPr>
        <w:t>Cuenta financiera y PII del B</w:t>
      </w:r>
      <w:r>
        <w:rPr>
          <w:i/>
          <w:iCs/>
        </w:rPr>
        <w:t xml:space="preserve">anco </w:t>
      </w:r>
      <w:r w:rsidRPr="00F1518E">
        <w:rPr>
          <w:i/>
          <w:iCs/>
        </w:rPr>
        <w:t>d</w:t>
      </w:r>
      <w:r>
        <w:rPr>
          <w:i/>
          <w:iCs/>
        </w:rPr>
        <w:t xml:space="preserve">e </w:t>
      </w:r>
      <w:r w:rsidRPr="00F1518E">
        <w:rPr>
          <w:i/>
          <w:iCs/>
        </w:rPr>
        <w:t>E</w:t>
      </w:r>
      <w:r>
        <w:rPr>
          <w:i/>
          <w:iCs/>
        </w:rPr>
        <w:t>spaña</w:t>
      </w:r>
      <w:r w:rsidRPr="00F1518E">
        <w:t>:</w:t>
      </w:r>
    </w:p>
    <w:p w14:paraId="72AD5494" w14:textId="77777777" w:rsidR="00BC4281" w:rsidRPr="00EC5F67" w:rsidRDefault="00BC4281" w:rsidP="00BC4281">
      <w:pPr>
        <w:pStyle w:val="Nivel4"/>
        <w:keepNext/>
        <w:ind w:left="1474"/>
      </w:pPr>
      <w:r w:rsidRPr="00EC5F67">
        <w:t>Reservas activos</w:t>
      </w:r>
      <w:r>
        <w:t>:</w:t>
      </w:r>
    </w:p>
    <w:p w14:paraId="7E929471" w14:textId="77777777" w:rsidR="00BC4281" w:rsidRDefault="00BC4281" w:rsidP="00BC4281">
      <w:pPr>
        <w:pStyle w:val="Nivel5"/>
        <w:ind w:left="1871"/>
      </w:pPr>
      <w:r>
        <w:t xml:space="preserve">Activos líquidos en moneda extranjera que el </w:t>
      </w:r>
      <w:proofErr w:type="spellStart"/>
      <w:r>
        <w:t>BdE</w:t>
      </w:r>
      <w:proofErr w:type="spellEnd"/>
      <w:r>
        <w:t xml:space="preserve"> mantiene frente a residentes en países distintos a la UEM.</w:t>
      </w:r>
    </w:p>
    <w:p w14:paraId="5855BBCB" w14:textId="77777777" w:rsidR="00BC4281" w:rsidRPr="00EC5F67" w:rsidRDefault="00BC4281" w:rsidP="00BC4281">
      <w:pPr>
        <w:pStyle w:val="Nivel4"/>
        <w:keepNext/>
        <w:ind w:left="1474"/>
      </w:pPr>
      <w:r w:rsidRPr="00EC5F67">
        <w:t xml:space="preserve">Activos del </w:t>
      </w:r>
      <w:proofErr w:type="spellStart"/>
      <w:r w:rsidRPr="00EC5F67">
        <w:t>BdE</w:t>
      </w:r>
      <w:proofErr w:type="spellEnd"/>
      <w:r w:rsidRPr="00EC5F67">
        <w:t xml:space="preserve"> frente al Eurosistema</w:t>
      </w:r>
      <w:r>
        <w:t xml:space="preserve"> </w:t>
      </w:r>
      <w:r w:rsidRPr="00A00B70">
        <w:rPr>
          <w:sz w:val="19"/>
          <w:szCs w:val="19"/>
        </w:rPr>
        <w:t>(BCE y bancos centrales nacionales de la zona euro)</w:t>
      </w:r>
      <w:r>
        <w:t>:</w:t>
      </w:r>
    </w:p>
    <w:p w14:paraId="6C12479D" w14:textId="77777777" w:rsidR="00BC4281" w:rsidRDefault="00BC4281" w:rsidP="00BC4281">
      <w:pPr>
        <w:pStyle w:val="Nivel5"/>
        <w:ind w:left="1871"/>
      </w:pPr>
      <w:r>
        <w:t xml:space="preserve">Recoge los activos mantenidos por el </w:t>
      </w:r>
      <w:proofErr w:type="spellStart"/>
      <w:r>
        <w:t>BdE</w:t>
      </w:r>
      <w:proofErr w:type="spellEnd"/>
      <w:r>
        <w:t xml:space="preserve"> frente a los bancos centrales nacionales de la zona euro y el Banco Central Europeo.</w:t>
      </w:r>
    </w:p>
    <w:p w14:paraId="14524F51" w14:textId="2F2E9B43" w:rsidR="00BC4281" w:rsidRDefault="00BC4281" w:rsidP="00BC4281">
      <w:pPr>
        <w:pStyle w:val="Nivel5"/>
        <w:ind w:left="1871"/>
      </w:pPr>
      <w:r>
        <w:t>Aquí se recogen también las compras de valores correspondientes al Programa de Compra de Activos (APP). Así</w:t>
      </w:r>
      <w:r w:rsidR="009B4312">
        <w:t>,</w:t>
      </w:r>
      <w:r>
        <w:t xml:space="preserve"> por ejemplo</w:t>
      </w:r>
      <w:r w:rsidR="009B4312">
        <w:t>,</w:t>
      </w:r>
      <w:r>
        <w:t xml:space="preserve"> una compra de activos del sector público (PSPP) por parte del BCE generará una posición una acreedora de la cuenta financiera del </w:t>
      </w:r>
      <w:proofErr w:type="spellStart"/>
      <w:r>
        <w:t>BdE</w:t>
      </w:r>
      <w:proofErr w:type="spellEnd"/>
      <w:r>
        <w:t xml:space="preserve"> con respecto al BCE.</w:t>
      </w:r>
    </w:p>
    <w:p w14:paraId="34B9A4E0" w14:textId="77777777" w:rsidR="00BC4281" w:rsidRPr="00EC5F67" w:rsidRDefault="00BC4281" w:rsidP="00BC4281">
      <w:pPr>
        <w:pStyle w:val="Nivel4"/>
        <w:keepNext/>
        <w:ind w:left="1474"/>
      </w:pPr>
      <w:r w:rsidRPr="00EC5F67">
        <w:t>Otros activos netos</w:t>
      </w:r>
      <w:r>
        <w:t>:</w:t>
      </w:r>
    </w:p>
    <w:p w14:paraId="50F70608" w14:textId="77777777" w:rsidR="00BC4281" w:rsidRDefault="00BC4281" w:rsidP="00BC4281">
      <w:pPr>
        <w:pStyle w:val="Nivel5"/>
        <w:ind w:left="1871"/>
      </w:pPr>
      <w:r>
        <w:t xml:space="preserve">Incluye por ejemplo la contribución del </w:t>
      </w:r>
      <w:proofErr w:type="spellStart"/>
      <w:r>
        <w:t>BdE</w:t>
      </w:r>
      <w:proofErr w:type="spellEnd"/>
      <w:r>
        <w:t xml:space="preserve"> al capital del BCE realizada en 1998.</w:t>
      </w:r>
    </w:p>
    <w:p w14:paraId="2FAF46E3" w14:textId="77777777" w:rsidR="00BC4281" w:rsidRDefault="00BC4281" w:rsidP="00BC4281">
      <w:pPr>
        <w:pStyle w:val="Nivel5"/>
        <w:ind w:left="1871"/>
      </w:pPr>
      <w:r>
        <w:t>Los swaps de oro.</w:t>
      </w:r>
    </w:p>
    <w:p w14:paraId="723F2E1B" w14:textId="77777777" w:rsidR="00BC4281" w:rsidRPr="00F82D6C" w:rsidRDefault="00BC4281" w:rsidP="00BC4281">
      <w:pPr>
        <w:pStyle w:val="Nivel4"/>
        <w:keepNext/>
        <w:ind w:left="1474"/>
      </w:pPr>
      <w:r>
        <w:t>Posición Inversora Internacional Neta:</w:t>
      </w:r>
    </w:p>
    <w:p w14:paraId="7CD8B21F" w14:textId="77777777" w:rsidR="00BC4281" w:rsidRPr="00824B08" w:rsidRDefault="00BC4281" w:rsidP="00BC4281">
      <w:pPr>
        <w:pStyle w:val="Nivel5"/>
        <w:ind w:left="1871"/>
      </w:pPr>
      <w:r>
        <w:t>Representa de nuevo la variable stock de las partidas anteriores.</w:t>
      </w:r>
    </w:p>
    <w:p w14:paraId="20365A42" w14:textId="77777777" w:rsidR="00BC4281" w:rsidRDefault="00BC4281" w:rsidP="00BC4281">
      <w:pPr>
        <w:pStyle w:val="Nivel2SM"/>
        <w:keepNext/>
        <w:spacing w:after="0"/>
      </w:pPr>
      <w:r>
        <w:lastRenderedPageBreak/>
        <w:t xml:space="preserve">La BP como hemos mencionado es un documento contable por lo que en todo momento deberá estar en equilibrio. Concretamente en la BP se cumplirá constantemente la </w:t>
      </w:r>
      <w:r w:rsidRPr="00720774">
        <w:rPr>
          <w:u w:val="single"/>
        </w:rPr>
        <w:t>siguiente identidad</w:t>
      </w:r>
      <w:r>
        <w:t>:</w:t>
      </w:r>
    </w:p>
    <w:p w14:paraId="6031475A" w14:textId="77777777" w:rsidR="00BC4281" w:rsidRDefault="00000000" w:rsidP="00BC4281">
      <w:pPr>
        <w:keepNext/>
        <w:spacing w:after="0"/>
        <w:ind w:left="1440"/>
        <w:jc w:val="center"/>
      </w:pPr>
      <m:oMathPara>
        <m:oMath>
          <m:borderBox>
            <m:borderBoxPr>
              <m:ctrlPr>
                <w:rPr>
                  <w:rStyle w:val="Hipervnculo"/>
                  <w:rFonts w:ascii="Cambria Math" w:hAnsi="Cambria Math"/>
                  <w:i/>
                  <w:color w:val="auto"/>
                  <w:u w:val="none"/>
                </w:rPr>
              </m:ctrlPr>
            </m:borderBoxPr>
            <m:e>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CC</m:t>
                                      </m:r>
                                    </m:e>
                                  </m:groupChr>
                                </m:e>
                                <m:lim>
                                  <m:eqArr>
                                    <m:eqArrPr>
                                      <m:ctrlPr>
                                        <w:rPr>
                                          <w:rFonts w:ascii="Cambria Math" w:hAnsi="Cambria Math"/>
                                          <w:i/>
                                          <w:color w:val="000000" w:themeColor="text1"/>
                                        </w:rPr>
                                      </m:ctrlPr>
                                    </m:eqArrPr>
                                    <m:e>
                                      <m:r>
                                        <m:rPr>
                                          <m:nor/>
                                        </m:rPr>
                                        <w:rPr>
                                          <w:i/>
                                          <w:color w:val="000000" w:themeColor="text1"/>
                                        </w:rPr>
                                        <m:t>Cuenta</m:t>
                                      </m:r>
                                    </m:e>
                                    <m:e>
                                      <m:r>
                                        <m:rPr>
                                          <m:nor/>
                                        </m:rPr>
                                        <w:rPr>
                                          <w:i/>
                                          <w:color w:val="000000" w:themeColor="text1"/>
                                        </w:rPr>
                                        <m:t xml:space="preserve"> corriente</m:t>
                                      </m:r>
                                    </m:e>
                                  </m:eqArr>
                                </m:lim>
                              </m:limUpp>
                            </m:e>
                          </m:groupChr>
                        </m:e>
                        <m:lim>
                          <m:r>
                            <m:rPr>
                              <m:nor/>
                            </m:rPr>
                            <w:rPr>
                              <w:rStyle w:val="Hipervnculo"/>
                              <w:i/>
                              <w:color w:val="000000" w:themeColor="text1"/>
                            </w:rPr>
                            <m:t>CB&amp;S</m:t>
                          </m:r>
                          <m:r>
                            <w:rPr>
                              <w:rStyle w:val="Hipervnculo"/>
                              <w:rFonts w:ascii="Cambria Math" w:hAnsi="Cambria Math"/>
                              <w:color w:val="000000" w:themeColor="text1"/>
                            </w:rPr>
                            <m:t>+</m:t>
                          </m:r>
                          <m:r>
                            <m:rPr>
                              <m:nor/>
                            </m:rPr>
                            <w:rPr>
                              <w:rStyle w:val="Hipervnculo"/>
                              <w:i/>
                              <w:color w:val="000000" w:themeColor="text1"/>
                            </w:rPr>
                            <m:t>CR1</m:t>
                          </m:r>
                          <m:r>
                            <m:rPr>
                              <m:nor/>
                            </m:rPr>
                            <w:rPr>
                              <w:rStyle w:val="Hipervnculo"/>
                              <w:i/>
                              <w:color w:val="000000" w:themeColor="text1"/>
                              <w:vertAlign w:val="superscript"/>
                            </w:rPr>
                            <m:t>as</m:t>
                          </m:r>
                          <m:r>
                            <w:rPr>
                              <w:rStyle w:val="Hipervnculo"/>
                              <w:rFonts w:ascii="Cambria Math" w:hAnsi="Cambria Math"/>
                              <w:color w:val="000000" w:themeColor="text1"/>
                            </w:rPr>
                            <m:t>+</m:t>
                          </m:r>
                          <m:r>
                            <m:rPr>
                              <m:nor/>
                            </m:rPr>
                            <w:rPr>
                              <w:rStyle w:val="Hipervnculo"/>
                              <w:i/>
                              <w:color w:val="000000" w:themeColor="text1"/>
                            </w:rPr>
                            <m:t>CR2</m:t>
                          </m:r>
                          <w:proofErr w:type="spellStart"/>
                          <m:r>
                            <m:rPr>
                              <m:nor/>
                            </m:rPr>
                            <w:rPr>
                              <w:rStyle w:val="Hipervnculo"/>
                              <w:i/>
                              <w:color w:val="000000" w:themeColor="text1"/>
                              <w:vertAlign w:val="superscript"/>
                            </w:rPr>
                            <m:t>as</m:t>
                          </m:r>
                          <w:proofErr w:type="spellEnd"/>
                        </m:lim>
                      </m:limLow>
                      <m:r>
                        <w:rPr>
                          <w:rStyle w:val="Hipervnculo"/>
                          <w:rFonts w:ascii="Cambria Math" w:hAnsi="Cambria Math"/>
                          <w:color w:val="000000" w:themeColor="text1"/>
                        </w:rPr>
                        <m:t>+</m:t>
                      </m:r>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CK</m:t>
                              </m:r>
                            </m:e>
                          </m:groupChr>
                        </m:e>
                        <m:lim>
                          <m:eqArr>
                            <m:eqArrPr>
                              <m:ctrlPr>
                                <w:rPr>
                                  <w:rFonts w:ascii="Cambria Math" w:hAnsi="Cambria Math"/>
                                  <w:i/>
                                  <w:color w:val="000000" w:themeColor="text1"/>
                                </w:rPr>
                              </m:ctrlPr>
                            </m:eqArrPr>
                            <m:e>
                              <m:r>
                                <m:rPr>
                                  <m:nor/>
                                </m:rPr>
                                <w:rPr>
                                  <w:i/>
                                  <w:color w:val="000000" w:themeColor="text1"/>
                                </w:rPr>
                                <m:t>Cuenta</m:t>
                              </m:r>
                            </m:e>
                            <m:e>
                              <m:r>
                                <m:rPr>
                                  <m:nor/>
                                </m:rPr>
                                <w:rPr>
                                  <w:i/>
                                  <w:color w:val="000000" w:themeColor="text1"/>
                                </w:rPr>
                                <m:t>de capital</m:t>
                              </m:r>
                            </m:e>
                          </m:eqArr>
                        </m:lim>
                      </m:limUpp>
                    </m:e>
                  </m:groupChr>
                </m:e>
                <m:lim>
                  <m:r>
                    <m:rPr>
                      <m:nor/>
                    </m:rPr>
                    <w:rPr>
                      <w:i/>
                      <w:color w:val="000000" w:themeColor="text1"/>
                    </w:rPr>
                    <m:t>Capacidad (</m:t>
                  </m:r>
                  <m:r>
                    <w:rPr>
                      <w:rFonts w:ascii="Cambria Math" w:hAnsi="Cambria Math"/>
                    </w:rPr>
                    <m:t>+</m:t>
                  </m:r>
                  <m:r>
                    <m:rPr>
                      <m:nor/>
                    </m:rPr>
                    <w:rPr>
                      <w:i/>
                      <w:color w:val="000000" w:themeColor="text1"/>
                    </w:rPr>
                    <m:t>) o Necesidad (</m:t>
                  </m:r>
                  <m:r>
                    <w:rPr>
                      <w:rFonts w:ascii="Cambria Math" w:hAnsi="Cambria Math"/>
                      <w:color w:val="000000" w:themeColor="text1"/>
                    </w:rPr>
                    <m:t>-</m:t>
                  </m:r>
                  <m:r>
                    <m:rPr>
                      <m:nor/>
                    </m:rPr>
                    <w:rPr>
                      <w:i/>
                      <w:color w:val="000000" w:themeColor="text1"/>
                    </w:rPr>
                    <m:t>) de Financiación</m:t>
                  </m:r>
                </m:lim>
              </m:limLow>
              <m:r>
                <w:rPr>
                  <w:rStyle w:val="Hipervnculo"/>
                  <w:rFonts w:ascii="Cambria Math" w:hAnsi="Cambria Math"/>
                  <w:color w:val="000000" w:themeColor="text1"/>
                </w:rPr>
                <m:t>+</m:t>
              </m:r>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EO</m:t>
                      </m:r>
                    </m:e>
                  </m:groupChr>
                </m:e>
                <m:lim>
                  <m:eqArr>
                    <m:eqArrPr>
                      <m:ctrlPr>
                        <w:rPr>
                          <w:rFonts w:ascii="Cambria Math" w:hAnsi="Cambria Math"/>
                          <w:i/>
                          <w:color w:val="000000" w:themeColor="text1"/>
                        </w:rPr>
                      </m:ctrlPr>
                    </m:eqArrPr>
                    <m:e>
                      <m:r>
                        <m:rPr>
                          <m:nor/>
                        </m:rPr>
                        <w:rPr>
                          <w:i/>
                          <w:color w:val="000000" w:themeColor="text1"/>
                        </w:rPr>
                        <m:t>Errores y</m:t>
                      </m:r>
                    </m:e>
                    <m:e>
                      <m:r>
                        <m:rPr>
                          <m:nor/>
                        </m:rPr>
                        <w:rPr>
                          <w:i/>
                          <w:color w:val="000000" w:themeColor="text1"/>
                        </w:rPr>
                        <m:t>omisiones</m:t>
                      </m:r>
                    </m:e>
                  </m:eqArr>
                </m:lim>
              </m:limUpp>
              <m:r>
                <w:rPr>
                  <w:rStyle w:val="Hipervnculo"/>
                  <w:rFonts w:ascii="Cambria Math" w:hAnsi="Cambria Math"/>
                  <w:color w:val="000000" w:themeColor="text1"/>
                </w:rPr>
                <m:t>=</m:t>
              </m:r>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CF</m:t>
                              </m:r>
                            </m:e>
                          </m:groupChr>
                        </m:e>
                        <m:lim>
                          <m:eqArr>
                            <m:eqArrPr>
                              <m:ctrlPr>
                                <w:rPr>
                                  <w:rFonts w:ascii="Cambria Math" w:hAnsi="Cambria Math"/>
                                  <w:i/>
                                  <w:color w:val="000000" w:themeColor="text1"/>
                                </w:rPr>
                              </m:ctrlPr>
                            </m:eqArrPr>
                            <m:e>
                              <m:r>
                                <m:rPr>
                                  <m:nor/>
                                </m:rPr>
                                <w:rPr>
                                  <w:i/>
                                  <w:color w:val="000000" w:themeColor="text1"/>
                                </w:rPr>
                                <m:t>Cuenta</m:t>
                              </m:r>
                            </m:e>
                            <m:e>
                              <m:r>
                                <m:rPr>
                                  <m:nor/>
                                </m:rPr>
                                <w:rPr>
                                  <w:i/>
                                  <w:color w:val="000000" w:themeColor="text1"/>
                                </w:rPr>
                                <m:t>financiera</m:t>
                              </m:r>
                            </m:e>
                          </m:eqArr>
                        </m:lim>
                      </m:limUpp>
                    </m:e>
                  </m:groupChr>
                </m:e>
                <m:lim>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r>
                                    <m:rPr>
                                      <m:nor/>
                                    </m:rPr>
                                    <w:rPr>
                                      <w:rStyle w:val="Hipervnculo"/>
                                      <w:i/>
                                      <w:color w:val="000000" w:themeColor="text1"/>
                                    </w:rPr>
                                    <m:t>ID</m:t>
                                  </m:r>
                                  <m:r>
                                    <w:rPr>
                                      <w:rStyle w:val="Hipervnculo"/>
                                      <w:rFonts w:ascii="Cambria Math" w:hAnsi="Cambria Math"/>
                                      <w:color w:val="000000" w:themeColor="text1"/>
                                    </w:rPr>
                                    <m:t>+</m:t>
                                  </m:r>
                                  <m:r>
                                    <m:rPr>
                                      <m:nor/>
                                    </m:rPr>
                                    <w:rPr>
                                      <w:rStyle w:val="Hipervnculo"/>
                                      <w:i/>
                                      <w:color w:val="000000" w:themeColor="text1"/>
                                    </w:rPr>
                                    <m:t>IC</m:t>
                                  </m:r>
                                  <m:r>
                                    <w:rPr>
                                      <w:rStyle w:val="Hipervnculo"/>
                                      <w:rFonts w:ascii="Cambria Math" w:hAnsi="Cambria Math"/>
                                      <w:color w:val="000000" w:themeColor="text1"/>
                                    </w:rPr>
                                    <m:t>+</m:t>
                                  </m:r>
                                  <m:r>
                                    <m:rPr>
                                      <m:nor/>
                                    </m:rPr>
                                    <w:rPr>
                                      <w:rStyle w:val="Hipervnculo"/>
                                      <w:i/>
                                      <w:color w:val="000000" w:themeColor="text1"/>
                                    </w:rPr>
                                    <m:t>Otra inversión</m:t>
                                  </m:r>
                                  <m:r>
                                    <w:rPr>
                                      <w:rStyle w:val="Hipervnculo"/>
                                      <w:rFonts w:ascii="Cambria Math" w:hAnsi="Cambria Math"/>
                                      <w:color w:val="000000" w:themeColor="text1"/>
                                    </w:rPr>
                                    <m:t>+</m:t>
                                  </m:r>
                                  <m:r>
                                    <m:rPr>
                                      <m:nor/>
                                    </m:rPr>
                                    <w:rPr>
                                      <w:rStyle w:val="Hipervnculo"/>
                                      <w:i/>
                                      <w:color w:val="000000" w:themeColor="text1"/>
                                    </w:rPr>
                                    <m:t>Derivados</m:t>
                                  </m:r>
                                </m:e>
                              </m:groupChr>
                            </m:e>
                            <m:lim>
                              <m:r>
                                <m:rPr>
                                  <m:nor/>
                                </m:rPr>
                                <w:rPr>
                                  <w:i/>
                                  <w:color w:val="000000" w:themeColor="text1"/>
                                </w:rPr>
                                <m:t>SNC*</m:t>
                              </m:r>
                            </m:lim>
                          </m:limLow>
                          <m:r>
                            <w:rPr>
                              <w:rStyle w:val="Hipervnculo"/>
                              <w:rFonts w:ascii="Cambria Math" w:hAnsi="Cambria Math"/>
                              <w:color w:val="000000" w:themeColor="text1"/>
                            </w:rPr>
                            <m:t>+</m:t>
                          </m:r>
                          <m:r>
                            <m:rPr>
                              <m:nor/>
                            </m:rPr>
                            <w:rPr>
                              <w:i/>
                              <w:color w:val="000000" w:themeColor="text1"/>
                            </w:rPr>
                            <m:t>∆R</m:t>
                          </m:r>
                        </m:e>
                      </m:groupChr>
                    </m:e>
                    <m:lim>
                      <m:r>
                        <m:rPr>
                          <m:nor/>
                        </m:rPr>
                        <w:rPr>
                          <w:i/>
                          <w:color w:val="000000" w:themeColor="text1"/>
                        </w:rPr>
                        <m:t>SNC</m:t>
                      </m:r>
                    </m:lim>
                  </m:limLow>
                </m:lim>
              </m:limLow>
            </m:e>
          </m:borderBox>
        </m:oMath>
      </m:oMathPara>
    </w:p>
    <w:p w14:paraId="5D8B3C6F" w14:textId="77777777" w:rsidR="00BC4281" w:rsidRPr="00921477" w:rsidRDefault="00BC4281" w:rsidP="00BC4281">
      <w:pPr>
        <w:pStyle w:val="Nivel3SM"/>
        <w:rPr>
          <w:spacing w:val="-4"/>
        </w:rPr>
      </w:pPr>
      <w:r w:rsidRPr="00921477">
        <w:rPr>
          <w:spacing w:val="-4"/>
        </w:rPr>
        <w:t xml:space="preserve">En caso de que la suma de la CC y la CK sea positiva, la economía tendrá </w:t>
      </w:r>
      <w:r w:rsidRPr="00921477">
        <w:rPr>
          <w:spacing w:val="-4"/>
          <w:u w:val="single"/>
        </w:rPr>
        <w:t>capacidad de financiación</w:t>
      </w:r>
      <w:r w:rsidRPr="00921477">
        <w:rPr>
          <w:spacing w:val="-4"/>
        </w:rPr>
        <w:t xml:space="preserve"> con respecto al exterior siendo la cuenta financiera positiva y aumentando la PII.</w:t>
      </w:r>
    </w:p>
    <w:p w14:paraId="419A4803" w14:textId="77777777" w:rsidR="00BC4281" w:rsidRPr="00D76995" w:rsidRDefault="00BC4281" w:rsidP="00BC4281">
      <w:pPr>
        <w:pStyle w:val="Nivel3SM"/>
      </w:pPr>
      <w:r>
        <w:t xml:space="preserve">En caso contrario la economía refleja una </w:t>
      </w:r>
      <w:r w:rsidRPr="00194D97">
        <w:rPr>
          <w:u w:val="single"/>
        </w:rPr>
        <w:t>necesidad de financiación</w:t>
      </w:r>
      <w:r>
        <w:t xml:space="preserve"> lo que conlleva a una entrada de capitales y a una reducción de la PII.</w:t>
      </w:r>
    </w:p>
    <w:p w14:paraId="56C98530" w14:textId="1DE8CE45" w:rsidR="00BC4281" w:rsidRDefault="00ED49D9" w:rsidP="00BC4281">
      <w:pPr>
        <w:pStyle w:val="Ttulo6"/>
      </w:pPr>
      <w:bookmarkStart w:id="42" w:name="_Toc177739144"/>
      <w:r>
        <w:t>Fuentes estadísticas</w:t>
      </w:r>
      <w:r w:rsidR="00BC4281">
        <w:t xml:space="preserve"> del sector exterior</w:t>
      </w:r>
      <w:bookmarkEnd w:id="42"/>
    </w:p>
    <w:p w14:paraId="5C00C047" w14:textId="5E383C84" w:rsidR="0083497A" w:rsidRDefault="0083497A" w:rsidP="00BC4281">
      <w:pPr>
        <w:pStyle w:val="Nivel2SM"/>
        <w:keepNext/>
        <w:spacing w:after="0"/>
      </w:pPr>
      <w:r w:rsidRPr="000A6E59">
        <w:rPr>
          <w:i/>
          <w:iCs/>
          <w:u w:val="single"/>
        </w:rPr>
        <w:t>Cuenta de bienes</w:t>
      </w:r>
      <w:r w:rsidR="00186E9F" w:rsidRPr="00186E9F">
        <w:t xml:space="preserve">: </w:t>
      </w:r>
      <w:r w:rsidR="00186E9F">
        <w:t>Se basa en las Estadísticas de comercio exterior, elaboradas por el Departamento de Aduanas de la Agencia Estatal de la Administración Tributaria (AEAT).</w:t>
      </w:r>
    </w:p>
    <w:p w14:paraId="5A0D1F4C" w14:textId="7ABF2FC0" w:rsidR="0083497A" w:rsidRPr="00D76995" w:rsidRDefault="0083497A" w:rsidP="0083497A">
      <w:pPr>
        <w:pStyle w:val="Nivel3SM"/>
        <w:keepNext/>
      </w:pPr>
      <w:r w:rsidRPr="00C32624">
        <w:rPr>
          <w:i/>
          <w:iCs/>
        </w:rPr>
        <w:t>Comercio intracomunitario</w:t>
      </w:r>
      <w:r w:rsidRPr="00D76995">
        <w:t>:</w:t>
      </w:r>
    </w:p>
    <w:p w14:paraId="41B8CDD7" w14:textId="7CF20ACA" w:rsidR="0083497A" w:rsidRDefault="0083497A" w:rsidP="0083497A">
      <w:pPr>
        <w:pStyle w:val="Nivel4"/>
        <w:ind w:left="1474"/>
      </w:pPr>
      <w:r>
        <w:t xml:space="preserve">Se basa en las declaraciones </w:t>
      </w:r>
      <w:r w:rsidRPr="00945092">
        <w:rPr>
          <w:u w:val="single"/>
        </w:rPr>
        <w:t>INTRASTAT</w:t>
      </w:r>
      <w:r>
        <w:t>.</w:t>
      </w:r>
    </w:p>
    <w:p w14:paraId="148606C9" w14:textId="77777777" w:rsidR="0083497A" w:rsidRPr="00D76995" w:rsidRDefault="0083497A" w:rsidP="0083497A">
      <w:pPr>
        <w:pStyle w:val="Nivel3SM"/>
        <w:keepNext/>
      </w:pPr>
      <w:r w:rsidRPr="00C32624">
        <w:rPr>
          <w:i/>
          <w:iCs/>
        </w:rPr>
        <w:t>Estadísticas del comercio extracomunitario</w:t>
      </w:r>
      <w:r w:rsidRPr="00D76995">
        <w:t>:</w:t>
      </w:r>
    </w:p>
    <w:p w14:paraId="74BEFB79" w14:textId="4BEDF6DD" w:rsidR="0083497A" w:rsidRPr="00945092" w:rsidRDefault="0083497A" w:rsidP="0083497A">
      <w:pPr>
        <w:pStyle w:val="Nivel4"/>
        <w:keepNext/>
        <w:ind w:left="1474"/>
        <w:rPr>
          <w:bCs/>
        </w:rPr>
      </w:pPr>
      <w:r w:rsidRPr="003B50CC">
        <w:t xml:space="preserve">Desde la consecución del mercado único en 1993 y la desaparición de las aduanas intracomunitarias, hay que distinguir las </w:t>
      </w:r>
      <w:r w:rsidRPr="003B50CC">
        <w:rPr>
          <w:u w:val="single"/>
        </w:rPr>
        <w:t>Estadísticas del comercio extracomunitario</w:t>
      </w:r>
      <w:r w:rsidRPr="003B50CC">
        <w:t xml:space="preserve"> (se basan en los </w:t>
      </w:r>
      <w:r w:rsidRPr="00945092">
        <w:rPr>
          <w:bCs/>
        </w:rPr>
        <w:t>Documentos Unificados Administrativos (</w:t>
      </w:r>
      <w:proofErr w:type="spellStart"/>
      <w:r w:rsidRPr="00945092">
        <w:rPr>
          <w:bCs/>
        </w:rPr>
        <w:t>DUAs</w:t>
      </w:r>
      <w:proofErr w:type="spellEnd"/>
      <w:r w:rsidRPr="00945092">
        <w:rPr>
          <w:bCs/>
        </w:rPr>
        <w:t>)</w:t>
      </w:r>
      <w:r w:rsidR="005B7121">
        <w:rPr>
          <w:bCs/>
        </w:rPr>
        <w:t>)</w:t>
      </w:r>
      <w:r w:rsidRPr="00945092">
        <w:rPr>
          <w:bCs/>
        </w:rPr>
        <w:t xml:space="preserve"> que se exigen a estas operaciones.</w:t>
      </w:r>
    </w:p>
    <w:p w14:paraId="5DC24279" w14:textId="77777777" w:rsidR="0083497A" w:rsidRDefault="0083497A" w:rsidP="0083497A">
      <w:pPr>
        <w:pStyle w:val="Nivel5"/>
        <w:ind w:left="1871"/>
      </w:pPr>
      <w:r w:rsidRPr="00D76995">
        <w:t xml:space="preserve">Recogen valores, pesos y unidades de las exportaciones e importaciones con </w:t>
      </w:r>
      <w:r>
        <w:t>tercer</w:t>
      </w:r>
      <w:r w:rsidRPr="00D76995">
        <w:t>os países.</w:t>
      </w:r>
    </w:p>
    <w:p w14:paraId="1E5FBC7E" w14:textId="33A96DBD" w:rsidR="00186E9F" w:rsidRPr="00D76995" w:rsidRDefault="0011768F" w:rsidP="00186E9F">
      <w:pPr>
        <w:pStyle w:val="Nivel3SM"/>
      </w:pPr>
      <w:r w:rsidRPr="0011768F">
        <w:rPr>
          <w:i/>
          <w:iCs/>
        </w:rPr>
        <w:t>Actividades ilegales relacionadas con el comercio internacional de bienes</w:t>
      </w:r>
      <w:r>
        <w:t>: Estimaciones realizadas por el INE de acuerdo a metodología y procedimientos recomendados por EUROSTAT.</w:t>
      </w:r>
    </w:p>
    <w:p w14:paraId="49881ABE" w14:textId="2137380B" w:rsidR="0083497A" w:rsidRDefault="0083497A" w:rsidP="00BC4281">
      <w:pPr>
        <w:pStyle w:val="Nivel2SM"/>
        <w:keepNext/>
        <w:spacing w:after="0"/>
      </w:pPr>
      <w:r w:rsidRPr="000A6E59">
        <w:rPr>
          <w:i/>
          <w:iCs/>
          <w:u w:val="single"/>
        </w:rPr>
        <w:t>Cuenta de servicios</w:t>
      </w:r>
      <w:r w:rsidRPr="000A6E59">
        <w:t>:</w:t>
      </w:r>
    </w:p>
    <w:p w14:paraId="34603C8C" w14:textId="22CAC419" w:rsidR="001A7876" w:rsidRDefault="001A7876" w:rsidP="001A7876">
      <w:pPr>
        <w:pStyle w:val="Nivel3SM"/>
      </w:pPr>
      <w:r>
        <w:rPr>
          <w:i/>
          <w:iCs/>
        </w:rPr>
        <w:t>Encuesta de Comercio Exterior de Servicios no turísticos</w:t>
      </w:r>
      <w:r>
        <w:t xml:space="preserve">: Elaborada trimestralmente por el INE, de acuerdo a la Clasificación Ampliada de la Balanza de Pagos de Servicios </w:t>
      </w:r>
      <w:r w:rsidRPr="004D0A8E">
        <w:rPr>
          <w:sz w:val="19"/>
          <w:szCs w:val="19"/>
        </w:rPr>
        <w:t>(</w:t>
      </w:r>
      <w:r w:rsidR="004D0A8E" w:rsidRPr="004D0A8E">
        <w:rPr>
          <w:sz w:val="19"/>
          <w:szCs w:val="19"/>
        </w:rPr>
        <w:t>transformación y reparación, relacionados con la construcción, seguros y pensiones, uso de la propiedad intelectual, servicios financieros, telecomunicaciones, informática y tecnologías de la información, consultoría y servicios empresariales, audiovisuales, culturales, recreativos y servicios del gobierno</w:t>
      </w:r>
      <w:r w:rsidRPr="004D0A8E">
        <w:rPr>
          <w:sz w:val="19"/>
          <w:szCs w:val="19"/>
        </w:rPr>
        <w:t>)</w:t>
      </w:r>
      <w:r>
        <w:t>.</w:t>
      </w:r>
    </w:p>
    <w:p w14:paraId="1CF660AB" w14:textId="39E832A4" w:rsidR="001A7876" w:rsidRDefault="00C067C1" w:rsidP="00016A12">
      <w:pPr>
        <w:pStyle w:val="Nivel3SM"/>
      </w:pPr>
      <w:r>
        <w:rPr>
          <w:i/>
          <w:iCs/>
        </w:rPr>
        <w:t>Ingresos turísticos</w:t>
      </w:r>
      <w:r w:rsidRPr="00C067C1">
        <w:t>:</w:t>
      </w:r>
      <w:r>
        <w:rPr>
          <w:i/>
          <w:iCs/>
        </w:rPr>
        <w:t xml:space="preserve"> </w:t>
      </w:r>
      <w:r w:rsidR="001A7876">
        <w:rPr>
          <w:i/>
          <w:iCs/>
        </w:rPr>
        <w:t>Encuesta de Gasto Turístico (EGATUR)</w:t>
      </w:r>
      <w:r w:rsidR="001A7876">
        <w:t xml:space="preserve">: Encuesta continua elaborada por el INE que recoge datos relativos al gasto que realizan en España los visitantes no </w:t>
      </w:r>
      <w:r w:rsidR="001A7876" w:rsidRPr="00016A12">
        <w:t>residentes</w:t>
      </w:r>
      <w:r w:rsidR="001A7876">
        <w:t>. Supone la principal fuente de información sobre ingresos turísticos.</w:t>
      </w:r>
    </w:p>
    <w:p w14:paraId="32CA0264" w14:textId="16F2AA78" w:rsidR="00C067C1" w:rsidRPr="0083497A" w:rsidRDefault="00C067C1" w:rsidP="00C067C1">
      <w:pPr>
        <w:pStyle w:val="Nivel3SM"/>
      </w:pPr>
      <w:r>
        <w:rPr>
          <w:i/>
          <w:iCs/>
        </w:rPr>
        <w:t>Gastos turísticos</w:t>
      </w:r>
      <w:r>
        <w:t xml:space="preserve">: El </w:t>
      </w:r>
      <w:proofErr w:type="spellStart"/>
      <w:r>
        <w:t>BdE</w:t>
      </w:r>
      <w:proofErr w:type="spellEnd"/>
      <w:r>
        <w:t xml:space="preserve"> realiza estimaciones sobre operaciones exteriores liquidadas con tarjetas bancarias emitidas contra cuentas en España.</w:t>
      </w:r>
    </w:p>
    <w:p w14:paraId="23EA3775" w14:textId="6B5E45E3" w:rsidR="0083497A" w:rsidRDefault="0083497A" w:rsidP="00BC4281">
      <w:pPr>
        <w:pStyle w:val="Nivel2SM"/>
        <w:keepNext/>
        <w:spacing w:after="0"/>
      </w:pPr>
      <w:r w:rsidRPr="000A6E59">
        <w:rPr>
          <w:i/>
          <w:iCs/>
          <w:u w:val="single"/>
        </w:rPr>
        <w:t>Cuenta de rentas primarias</w:t>
      </w:r>
      <w:r>
        <w:t>:</w:t>
      </w:r>
    </w:p>
    <w:p w14:paraId="622CC7D6" w14:textId="25BC8771" w:rsidR="00EC775E" w:rsidRDefault="00EC775E" w:rsidP="00EC775E">
      <w:pPr>
        <w:pStyle w:val="Nivel3SM"/>
      </w:pPr>
      <w:r>
        <w:t>Las rentas del trabajo se estiman utilizando la información de la EPA.</w:t>
      </w:r>
    </w:p>
    <w:p w14:paraId="6A2DE5D3" w14:textId="4EAF6428" w:rsidR="00EC775E" w:rsidRDefault="00EC775E" w:rsidP="00EC775E">
      <w:pPr>
        <w:pStyle w:val="Nivel3SM"/>
      </w:pPr>
      <w:r>
        <w:t xml:space="preserve">Las rentas de la inversión son estimadas por el </w:t>
      </w:r>
      <w:proofErr w:type="spellStart"/>
      <w:r>
        <w:t>BdE</w:t>
      </w:r>
      <w:proofErr w:type="spellEnd"/>
      <w:r>
        <w:t>.</w:t>
      </w:r>
    </w:p>
    <w:p w14:paraId="1F1F7815" w14:textId="7D84F9CF" w:rsidR="00EC775E" w:rsidRPr="0083497A" w:rsidRDefault="00EC775E" w:rsidP="00EC775E">
      <w:pPr>
        <w:pStyle w:val="Nivel3SM"/>
      </w:pPr>
      <w:r>
        <w:t>Otra renta primaria: Publicaciones del Tesoro en base a datos de la IGAE y del Fondo Español de Garantía Agraria.</w:t>
      </w:r>
    </w:p>
    <w:p w14:paraId="459075AA" w14:textId="77777777" w:rsidR="0083497A" w:rsidRDefault="0083497A" w:rsidP="00BC4281">
      <w:pPr>
        <w:pStyle w:val="Nivel2SM"/>
        <w:keepNext/>
        <w:spacing w:after="0"/>
      </w:pPr>
      <w:r w:rsidRPr="000A6E59">
        <w:rPr>
          <w:i/>
          <w:iCs/>
          <w:u w:val="single"/>
        </w:rPr>
        <w:t>Cuenta de rentas secundarias</w:t>
      </w:r>
      <w:r w:rsidRPr="0083497A">
        <w:t>:</w:t>
      </w:r>
    </w:p>
    <w:p w14:paraId="00994FD3" w14:textId="24144C2C" w:rsidR="00EC775E" w:rsidRDefault="00EC775E" w:rsidP="00EC775E">
      <w:pPr>
        <w:pStyle w:val="Nivel3SM"/>
      </w:pPr>
      <w:r w:rsidRPr="00EC775E">
        <w:rPr>
          <w:i/>
          <w:iCs/>
        </w:rPr>
        <w:t>Transferencias personales entre hogares</w:t>
      </w:r>
      <w:r>
        <w:t xml:space="preserve"> (principalmente remesas): Se estiman con los datos declarados por las entidades de pago al Banco de España y con los del Padrón de Españoles Residentes en el Exterior del INE.</w:t>
      </w:r>
    </w:p>
    <w:p w14:paraId="730FAD61" w14:textId="36F918D7" w:rsidR="00EC775E" w:rsidRDefault="00EC775E" w:rsidP="00EC775E">
      <w:pPr>
        <w:pStyle w:val="Nivel3SM"/>
        <w:keepNext/>
      </w:pPr>
      <w:r w:rsidRPr="00EC775E">
        <w:rPr>
          <w:i/>
          <w:iCs/>
        </w:rPr>
        <w:t>Otras transferencias corrientes</w:t>
      </w:r>
      <w:r>
        <w:t>:</w:t>
      </w:r>
    </w:p>
    <w:p w14:paraId="2433F126" w14:textId="1C7059E5" w:rsidR="00EC775E" w:rsidRPr="004E0881" w:rsidRDefault="00EC6DF4" w:rsidP="00EC775E">
      <w:pPr>
        <w:pStyle w:val="Nivel4"/>
        <w:ind w:left="1474"/>
        <w:rPr>
          <w:spacing w:val="-2"/>
        </w:rPr>
      </w:pPr>
      <w:r w:rsidRPr="004E0881">
        <w:rPr>
          <w:spacing w:val="-2"/>
        </w:rPr>
        <w:t>Cooperación internacional corriente: Publicacion</w:t>
      </w:r>
      <w:r w:rsidR="00B07951" w:rsidRPr="004E0881">
        <w:rPr>
          <w:spacing w:val="-2"/>
        </w:rPr>
        <w:t>e</w:t>
      </w:r>
      <w:r w:rsidRPr="004E0881">
        <w:rPr>
          <w:spacing w:val="-2"/>
        </w:rPr>
        <w:t>s del Tesoro, complementadas con declaraciones de la Agencia Española de Cooperación Internacional para el Desarrollo</w:t>
      </w:r>
      <w:r w:rsidR="004E0881" w:rsidRPr="004E0881">
        <w:rPr>
          <w:spacing w:val="-2"/>
        </w:rPr>
        <w:t xml:space="preserve"> (AECID)</w:t>
      </w:r>
      <w:r w:rsidRPr="004E0881">
        <w:rPr>
          <w:spacing w:val="-2"/>
        </w:rPr>
        <w:t>.</w:t>
      </w:r>
    </w:p>
    <w:p w14:paraId="66325F18" w14:textId="23B7D2BB" w:rsidR="00EC6DF4" w:rsidRPr="0083497A" w:rsidRDefault="00EC6DF4" w:rsidP="00EC775E">
      <w:pPr>
        <w:pStyle w:val="Nivel4"/>
        <w:ind w:left="1474"/>
      </w:pPr>
      <w:r>
        <w:lastRenderedPageBreak/>
        <w:t>Aportaciones a la UE denominadas recursos IVA y RNB: Información publicada por el Tesoro y la proporcionada por la IGAE.</w:t>
      </w:r>
    </w:p>
    <w:p w14:paraId="3DE4B524" w14:textId="77777777" w:rsidR="00080DD6" w:rsidRDefault="0083497A" w:rsidP="00BC4281">
      <w:pPr>
        <w:pStyle w:val="Nivel2SM"/>
        <w:keepNext/>
        <w:spacing w:after="0"/>
      </w:pPr>
      <w:r w:rsidRPr="000A6E59">
        <w:rPr>
          <w:i/>
          <w:iCs/>
          <w:u w:val="single"/>
        </w:rPr>
        <w:t>Cuenta de capital</w:t>
      </w:r>
      <w:r w:rsidRPr="0083497A">
        <w:t>:</w:t>
      </w:r>
    </w:p>
    <w:p w14:paraId="477A6002" w14:textId="695CD7B4" w:rsidR="0083497A" w:rsidRDefault="00080DD6" w:rsidP="00080DD6">
      <w:pPr>
        <w:pStyle w:val="Nivel3SM"/>
      </w:pPr>
      <w:r w:rsidRPr="00F25C8F">
        <w:rPr>
          <w:i/>
          <w:iCs/>
        </w:rPr>
        <w:t>Transferencias de capital fondos de la UE</w:t>
      </w:r>
      <w:r>
        <w:t xml:space="preserve"> (p.ej. FEDER): Tesoro e IGAE.</w:t>
      </w:r>
    </w:p>
    <w:p w14:paraId="210FF454" w14:textId="39FD1400" w:rsidR="00F25C8F" w:rsidRPr="00F25C8F" w:rsidRDefault="00F25C8F" w:rsidP="00080DD6">
      <w:pPr>
        <w:pStyle w:val="Nivel3SM"/>
        <w:rPr>
          <w:spacing w:val="-2"/>
          <w:highlight w:val="yellow"/>
        </w:rPr>
      </w:pPr>
      <w:r w:rsidRPr="00F25C8F">
        <w:rPr>
          <w:i/>
          <w:iCs/>
          <w:spacing w:val="-2"/>
          <w:highlight w:val="yellow"/>
        </w:rPr>
        <w:t>Adquisiciones de activos no financieros no producidos</w:t>
      </w:r>
      <w:r w:rsidRPr="00F25C8F">
        <w:rPr>
          <w:spacing w:val="-2"/>
          <w:highlight w:val="yellow"/>
        </w:rPr>
        <w:t>: Encuesta de Comercio de Servicios (ECIS).</w:t>
      </w:r>
    </w:p>
    <w:p w14:paraId="3F8F3F7F" w14:textId="24B1BC07" w:rsidR="0083497A" w:rsidRDefault="0083497A" w:rsidP="00BC4281">
      <w:pPr>
        <w:pStyle w:val="Nivel2SM"/>
        <w:keepNext/>
        <w:spacing w:after="0"/>
      </w:pPr>
      <w:r w:rsidRPr="000A6E59">
        <w:rPr>
          <w:i/>
          <w:iCs/>
          <w:u w:val="single"/>
        </w:rPr>
        <w:t>Cuenta financiera y PII</w:t>
      </w:r>
      <w:r w:rsidRPr="0083497A">
        <w:t>:</w:t>
      </w:r>
      <w:r w:rsidR="005C7BB4">
        <w:t xml:space="preserve"> Elaborado mensualmente por el </w:t>
      </w:r>
      <w:proofErr w:type="spellStart"/>
      <w:r w:rsidR="005C7BB4">
        <w:t>BdE</w:t>
      </w:r>
      <w:proofErr w:type="spellEnd"/>
      <w:r w:rsidR="005C7BB4">
        <w:t>.</w:t>
      </w:r>
    </w:p>
    <w:p w14:paraId="456647AB" w14:textId="325C8136" w:rsidR="005C7BB4" w:rsidRPr="009328B2" w:rsidRDefault="005C7BB4" w:rsidP="005C7BB4">
      <w:pPr>
        <w:pStyle w:val="Nivel3SM"/>
        <w:rPr>
          <w:spacing w:val="-2"/>
        </w:rPr>
      </w:pPr>
      <w:r w:rsidRPr="009328B2">
        <w:rPr>
          <w:spacing w:val="-2"/>
        </w:rPr>
        <w:t>+ </w:t>
      </w:r>
      <w:r w:rsidRPr="009328B2">
        <w:rPr>
          <w:i/>
          <w:iCs/>
          <w:spacing w:val="-2"/>
        </w:rPr>
        <w:t>Registro de Inversiones Exteriores</w:t>
      </w:r>
      <w:r w:rsidRPr="009328B2">
        <w:rPr>
          <w:spacing w:val="-2"/>
        </w:rPr>
        <w:t>, elaborado trimestralmente por la Secretaría de Comercio.</w:t>
      </w:r>
    </w:p>
    <w:p w14:paraId="4C828962" w14:textId="77777777" w:rsidR="00DB168B" w:rsidRDefault="001F5BD9" w:rsidP="001F5BD9">
      <w:pPr>
        <w:pStyle w:val="Ttulo2"/>
      </w:pPr>
      <w:bookmarkStart w:id="43" w:name="_Toc177739145"/>
      <w:r w:rsidRPr="00A6405C">
        <w:t>Estadísticas coyunturales</w:t>
      </w:r>
      <w:bookmarkEnd w:id="43"/>
    </w:p>
    <w:p w14:paraId="02C1BCEA" w14:textId="7705294D" w:rsidR="00A304F1" w:rsidRPr="002F1C29" w:rsidRDefault="00DB168B" w:rsidP="00DB168B">
      <w:pPr>
        <w:pStyle w:val="Ttulo3"/>
        <w:numPr>
          <w:ilvl w:val="2"/>
          <w:numId w:val="64"/>
        </w:numPr>
        <w:spacing w:before="0"/>
      </w:pPr>
      <w:bookmarkStart w:id="44" w:name="_Toc177739146"/>
      <w:r>
        <w:t>Introducción</w:t>
      </w:r>
      <w:bookmarkEnd w:id="44"/>
    </w:p>
    <w:p w14:paraId="796F3C63" w14:textId="2DFDEAF6" w:rsidR="009A4BDE" w:rsidRDefault="00B6452E" w:rsidP="009A4BDE">
      <w:pPr>
        <w:pStyle w:val="Nivel1SM"/>
        <w:keepNext/>
        <w:spacing w:before="0" w:after="0"/>
      </w:pPr>
      <w:r>
        <w:t xml:space="preserve">Las </w:t>
      </w:r>
      <w:r w:rsidRPr="00B6452E">
        <w:rPr>
          <w:b/>
          <w:bCs/>
        </w:rPr>
        <w:t>estadísticas coyunturales</w:t>
      </w:r>
      <w:r>
        <w:t xml:space="preserve"> o</w:t>
      </w:r>
      <w:r w:rsidR="00E02418" w:rsidRPr="00A6405C">
        <w:t xml:space="preserve">frecen una </w:t>
      </w:r>
      <w:r w:rsidR="00E02418" w:rsidRPr="00A6405C">
        <w:rPr>
          <w:u w:val="single"/>
        </w:rPr>
        <w:t>medición relativamente rápida</w:t>
      </w:r>
      <w:r w:rsidR="00E02418" w:rsidRPr="00A6405C">
        <w:t xml:space="preserve"> de </w:t>
      </w:r>
      <w:r w:rsidR="00F14814" w:rsidRPr="00A6405C">
        <w:t xml:space="preserve">ciertas magnitudes. </w:t>
      </w:r>
      <w:r w:rsidR="00E02418" w:rsidRPr="00A6405C">
        <w:t xml:space="preserve">A cambio, </w:t>
      </w:r>
      <w:r w:rsidR="00E02418" w:rsidRPr="00A6405C">
        <w:rPr>
          <w:u w:val="single"/>
        </w:rPr>
        <w:t>pierden cierta precisión al no abarcar la totalidad de los elementos</w:t>
      </w:r>
      <w:r w:rsidR="00E02418" w:rsidRPr="00A6405C">
        <w:t xml:space="preserve"> a los que dichas estadísticas se refieren</w:t>
      </w:r>
      <w:r w:rsidR="007732FA" w:rsidRPr="00A6405C">
        <w:t xml:space="preserve"> ni ser tan exactas.</w:t>
      </w:r>
    </w:p>
    <w:p w14:paraId="62A41965" w14:textId="10BBF122" w:rsidR="00394BBF" w:rsidRPr="001F5BD9" w:rsidRDefault="009D00F7" w:rsidP="009A4BDE">
      <w:pPr>
        <w:pStyle w:val="Nivel2SM"/>
      </w:pPr>
      <w:r w:rsidRPr="00A6405C">
        <w:t xml:space="preserve">Nos centraremos en las </w:t>
      </w:r>
      <w:r w:rsidR="009A4BDE">
        <w:t xml:space="preserve">estadísticas </w:t>
      </w:r>
      <w:r w:rsidRPr="00A6405C">
        <w:t>económicas.</w:t>
      </w:r>
    </w:p>
    <w:p w14:paraId="6B0D4EC0" w14:textId="77777777" w:rsidR="00030E31" w:rsidRPr="00A6405C" w:rsidRDefault="00030E31" w:rsidP="00030E31">
      <w:pPr>
        <w:pStyle w:val="Ttulo3"/>
      </w:pPr>
      <w:bookmarkStart w:id="45" w:name="_Toc177739147"/>
      <w:r w:rsidRPr="00A6405C">
        <w:t>Estadísticas de demanda</w:t>
      </w:r>
      <w:bookmarkEnd w:id="45"/>
    </w:p>
    <w:p w14:paraId="789309F7" w14:textId="77777777" w:rsidR="00030E31" w:rsidRPr="00A6405C" w:rsidRDefault="00030E31" w:rsidP="00030E31">
      <w:pPr>
        <w:pStyle w:val="Ttulo6"/>
        <w:spacing w:before="0"/>
      </w:pPr>
      <w:bookmarkStart w:id="46" w:name="_Toc177739148"/>
      <w:r w:rsidRPr="00A6405C">
        <w:t>Consumo</w:t>
      </w:r>
      <w:r>
        <w:t xml:space="preserve"> privado</w:t>
      </w:r>
      <w:bookmarkEnd w:id="46"/>
    </w:p>
    <w:p w14:paraId="3BF2506D" w14:textId="77777777" w:rsidR="00030E31" w:rsidRPr="00A6405C" w:rsidRDefault="00030E31" w:rsidP="00030E31">
      <w:pPr>
        <w:pStyle w:val="Nivel2SM"/>
        <w:keepNext/>
        <w:spacing w:after="0"/>
      </w:pPr>
      <w:r w:rsidRPr="00A6405C">
        <w:t>Entre las más importantes destacan:</w:t>
      </w:r>
    </w:p>
    <w:p w14:paraId="5A043DA3" w14:textId="77777777" w:rsidR="00030E31" w:rsidRDefault="00030E31" w:rsidP="00030E31">
      <w:pPr>
        <w:pStyle w:val="Nivel3SM"/>
        <w:keepNext/>
      </w:pPr>
      <w:r w:rsidRPr="00A6405C">
        <w:t xml:space="preserve">La </w:t>
      </w:r>
      <w:r w:rsidRPr="005D7032">
        <w:rPr>
          <w:i/>
          <w:iCs/>
        </w:rPr>
        <w:t>Encuesta de presupuestos familiares</w:t>
      </w:r>
      <w:r w:rsidRPr="00A6405C">
        <w:t xml:space="preserve"> (INE, trimestral):</w:t>
      </w:r>
    </w:p>
    <w:p w14:paraId="6FBD8076" w14:textId="77777777" w:rsidR="00030E31" w:rsidRDefault="00030E31" w:rsidP="00030E31">
      <w:pPr>
        <w:pStyle w:val="Nivel4"/>
        <w:keepNext/>
        <w:ind w:left="1474"/>
      </w:pPr>
      <w:r>
        <w:t>Es elaborada de forma anual por el INE. Se dirige a unos 24.000 hogares al años y tiene 2 objetivos prioritarios:</w:t>
      </w:r>
    </w:p>
    <w:p w14:paraId="53F61E6F" w14:textId="77777777" w:rsidR="00030E31" w:rsidRDefault="00030E31" w:rsidP="00030E31">
      <w:pPr>
        <w:pStyle w:val="Nivel5"/>
        <w:ind w:left="1871"/>
      </w:pPr>
      <w:r>
        <w:t>Obtener la información necesaria para la estimación del agregado de gasto en consumo final de los hogares de la Contabilidad Nacional, tanto a nivel nacional como de Comunidades autónomas; así como su variación interanual.</w:t>
      </w:r>
    </w:p>
    <w:p w14:paraId="23FA7400" w14:textId="77777777" w:rsidR="00030E31" w:rsidRDefault="00030E31" w:rsidP="00030E31">
      <w:pPr>
        <w:pStyle w:val="Nivel5"/>
        <w:ind w:left="1871"/>
      </w:pPr>
      <w:r>
        <w:t>Permite estimar la estructura de ponderaciones del gasto que se emplea para calcular el IPC que veremos posteriormente.</w:t>
      </w:r>
    </w:p>
    <w:p w14:paraId="5A40D826" w14:textId="77777777" w:rsidR="00030E31" w:rsidRPr="00A6405C" w:rsidRDefault="00030E31" w:rsidP="00030E31">
      <w:pPr>
        <w:pStyle w:val="Nivel4"/>
        <w:ind w:left="1474"/>
      </w:pPr>
      <w:r>
        <w:t>S</w:t>
      </w:r>
      <w:r w:rsidRPr="00A6405C">
        <w:t>e usa para actualizar la cesta del IPC.</w:t>
      </w:r>
    </w:p>
    <w:p w14:paraId="04B113D5" w14:textId="77777777" w:rsidR="00030E31" w:rsidRPr="00A6405C" w:rsidRDefault="00030E31" w:rsidP="00030E31">
      <w:pPr>
        <w:pStyle w:val="Nivel3SM"/>
      </w:pPr>
      <w:r w:rsidRPr="00A6405C">
        <w:t xml:space="preserve">El </w:t>
      </w:r>
      <w:r w:rsidRPr="005D7032">
        <w:rPr>
          <w:i/>
          <w:iCs/>
        </w:rPr>
        <w:t>informe de Créditos al consumo</w:t>
      </w:r>
      <w:r w:rsidRPr="00A6405C">
        <w:t xml:space="preserve"> (</w:t>
      </w:r>
      <w:proofErr w:type="spellStart"/>
      <w:r w:rsidRPr="00A6405C">
        <w:t>BdE</w:t>
      </w:r>
      <w:proofErr w:type="spellEnd"/>
      <w:r w:rsidRPr="00A6405C">
        <w:t>).</w:t>
      </w:r>
    </w:p>
    <w:p w14:paraId="185286AE" w14:textId="77777777" w:rsidR="00030E31" w:rsidRPr="00A6405C" w:rsidRDefault="00030E31" w:rsidP="00030E31">
      <w:pPr>
        <w:pStyle w:val="Nivel3SM"/>
      </w:pPr>
      <w:r w:rsidRPr="00A6405C">
        <w:t xml:space="preserve">La </w:t>
      </w:r>
      <w:r w:rsidRPr="005D7032">
        <w:rPr>
          <w:i/>
          <w:iCs/>
        </w:rPr>
        <w:t>Encuesta de opinión del consumidor</w:t>
      </w:r>
      <w:r w:rsidRPr="00A6405C">
        <w:t>.</w:t>
      </w:r>
    </w:p>
    <w:p w14:paraId="310592CF" w14:textId="77777777" w:rsidR="00030E31" w:rsidRPr="00A6405C" w:rsidRDefault="00030E31" w:rsidP="00030E31">
      <w:pPr>
        <w:pStyle w:val="Nivel3SM"/>
      </w:pPr>
      <w:r w:rsidRPr="00A6405C">
        <w:t xml:space="preserve">La </w:t>
      </w:r>
      <w:r w:rsidRPr="005D7032">
        <w:rPr>
          <w:i/>
          <w:iCs/>
        </w:rPr>
        <w:t>Encuesta de comercio minorista</w:t>
      </w:r>
      <w:r w:rsidRPr="00A6405C">
        <w:t xml:space="preserve"> (INE).</w:t>
      </w:r>
    </w:p>
    <w:p w14:paraId="3DDDE19F" w14:textId="77777777" w:rsidR="00030E31" w:rsidRPr="00A6405C" w:rsidRDefault="00030E31" w:rsidP="00030E31">
      <w:pPr>
        <w:pStyle w:val="Nivel3SM"/>
      </w:pPr>
      <w:r w:rsidRPr="00A6405C">
        <w:t xml:space="preserve">El </w:t>
      </w:r>
      <w:r w:rsidRPr="005D7032">
        <w:rPr>
          <w:i/>
          <w:iCs/>
        </w:rPr>
        <w:t xml:space="preserve">índice de </w:t>
      </w:r>
      <w:r>
        <w:rPr>
          <w:i/>
          <w:iCs/>
        </w:rPr>
        <w:t>v</w:t>
      </w:r>
      <w:r w:rsidRPr="005D7032">
        <w:rPr>
          <w:i/>
          <w:iCs/>
        </w:rPr>
        <w:t>entas y matriculaciones de automóviles y motocicletas</w:t>
      </w:r>
      <w:r w:rsidRPr="00A6405C">
        <w:t xml:space="preserve"> (ANFAC y DGT).</w:t>
      </w:r>
    </w:p>
    <w:p w14:paraId="0425631D" w14:textId="77777777" w:rsidR="00030E31" w:rsidRDefault="00030E31" w:rsidP="00030E31">
      <w:pPr>
        <w:pStyle w:val="Ttulo6"/>
      </w:pPr>
      <w:bookmarkStart w:id="47" w:name="_Toc177739149"/>
      <w:r>
        <w:t>Consumo público</w:t>
      </w:r>
      <w:bookmarkEnd w:id="47"/>
    </w:p>
    <w:p w14:paraId="2957F48D" w14:textId="77777777" w:rsidR="00030E31" w:rsidRPr="005A241F" w:rsidRDefault="00030E31" w:rsidP="00030E31">
      <w:pPr>
        <w:pStyle w:val="Nivel2SM"/>
      </w:pPr>
      <w:r>
        <w:t>Toda la información relativa al consumo realizado por las Administraciones públicas elaboradas por la Intervención General de la Administración del Estado (IGAE), que también proporciona datos de la ejecución presupuestaria del sector público estatal con periodicidad mensual.</w:t>
      </w:r>
    </w:p>
    <w:p w14:paraId="2E4D94B9" w14:textId="77777777" w:rsidR="00030E31" w:rsidRPr="000B33E0" w:rsidRDefault="00030E31" w:rsidP="00030E31">
      <w:pPr>
        <w:pStyle w:val="Ttulo6"/>
      </w:pPr>
      <w:bookmarkStart w:id="48" w:name="_Toc177739150"/>
      <w:r w:rsidRPr="00A6405C">
        <w:t>Inversión</w:t>
      </w:r>
      <w:bookmarkEnd w:id="48"/>
    </w:p>
    <w:p w14:paraId="714F4C54" w14:textId="77777777" w:rsidR="00030E31" w:rsidRDefault="00030E31" w:rsidP="00030E31">
      <w:pPr>
        <w:pStyle w:val="Nivel2SM"/>
      </w:pPr>
      <w:r>
        <w:t>La mayor parte de la información necesaria para estimar la inversión en Contabilidad Nacional se obtiene de fuentes de oferta, por ejemplo, a través de las Encuestas estructurales de Empresas o de la Encuesta de Inversiones Industriales.</w:t>
      </w:r>
    </w:p>
    <w:p w14:paraId="0A302B87" w14:textId="77777777" w:rsidR="00030E31" w:rsidRPr="00A6405C" w:rsidRDefault="00030E31" w:rsidP="00030E31">
      <w:pPr>
        <w:pStyle w:val="Nivel2SM"/>
        <w:keepNext/>
        <w:spacing w:after="0"/>
      </w:pPr>
      <w:r>
        <w:t xml:space="preserve">Además, existen indicadores de la evolución de la inversión. </w:t>
      </w:r>
      <w:r w:rsidRPr="00A6405C">
        <w:t>Destacan:</w:t>
      </w:r>
    </w:p>
    <w:p w14:paraId="75029B01" w14:textId="77777777" w:rsidR="00030E31" w:rsidRPr="00864127" w:rsidRDefault="00030E31" w:rsidP="00030E31">
      <w:pPr>
        <w:pStyle w:val="Nivel3SM"/>
      </w:pPr>
      <w:r w:rsidRPr="005D7032">
        <w:rPr>
          <w:i/>
          <w:iCs/>
        </w:rPr>
        <w:t>Índice de las disponibilidades de bienes de equipo</w:t>
      </w:r>
      <w:r w:rsidRPr="00A6405C">
        <w:t>.</w:t>
      </w:r>
    </w:p>
    <w:p w14:paraId="000161B7" w14:textId="77777777" w:rsidR="00030E31" w:rsidRPr="00A6405C" w:rsidRDefault="00030E31" w:rsidP="00030E31">
      <w:pPr>
        <w:pStyle w:val="Nivel3SM"/>
      </w:pPr>
      <w:r w:rsidRPr="005D7032">
        <w:rPr>
          <w:i/>
          <w:iCs/>
        </w:rPr>
        <w:t>Índice de Matriculaciones de vehículos de carga y autobuses</w:t>
      </w:r>
      <w:r w:rsidRPr="00A6405C">
        <w:t xml:space="preserve"> (DGT).</w:t>
      </w:r>
    </w:p>
    <w:p w14:paraId="6072ACDD" w14:textId="7C28D6E2" w:rsidR="007C7516" w:rsidRDefault="007C7516" w:rsidP="001F5BD9">
      <w:pPr>
        <w:pStyle w:val="Ttulo3"/>
      </w:pPr>
      <w:bookmarkStart w:id="49" w:name="_Toc177739151"/>
      <w:r w:rsidRPr="00A6405C">
        <w:t xml:space="preserve">Indicadores de </w:t>
      </w:r>
      <w:r w:rsidR="00B6452E">
        <w:t>o</w:t>
      </w:r>
      <w:r w:rsidRPr="00A6405C">
        <w:t>ferta</w:t>
      </w:r>
      <w:r w:rsidR="002B7A8E">
        <w:t xml:space="preserve"> (por sectores)</w:t>
      </w:r>
      <w:bookmarkEnd w:id="49"/>
    </w:p>
    <w:p w14:paraId="7B96098B" w14:textId="7ECB4558" w:rsidR="008913DA" w:rsidRDefault="008913DA" w:rsidP="008913DA">
      <w:pPr>
        <w:pStyle w:val="Nivel1SM"/>
        <w:spacing w:before="0"/>
      </w:pPr>
      <w:r>
        <w:t>Son operaciones en las que los informantes son las empresas. Abarcan todos los ámbitos de actividad según se irá detallando.</w:t>
      </w:r>
    </w:p>
    <w:p w14:paraId="6F301E86" w14:textId="65205650" w:rsidR="008913DA" w:rsidRDefault="008913DA" w:rsidP="008913DA">
      <w:pPr>
        <w:pStyle w:val="Ttulo6"/>
      </w:pPr>
      <w:bookmarkStart w:id="50" w:name="_Toc177739152"/>
      <w:r>
        <w:lastRenderedPageBreak/>
        <w:t>Agricultura, ganadería, selvicultura, pesca y acuicultura</w:t>
      </w:r>
      <w:bookmarkEnd w:id="50"/>
    </w:p>
    <w:p w14:paraId="32D687F7" w14:textId="61025F9B" w:rsidR="008913DA" w:rsidRDefault="00CB4C16" w:rsidP="008913DA">
      <w:pPr>
        <w:pStyle w:val="Nivel1SM"/>
        <w:keepNext/>
        <w:spacing w:before="0" w:after="0"/>
      </w:pPr>
      <w:r>
        <w:t>Distinguimos las siguientes estadísticas:</w:t>
      </w:r>
    </w:p>
    <w:p w14:paraId="2F4E29DF" w14:textId="7219A719" w:rsidR="008913DA" w:rsidRDefault="00CB4C16" w:rsidP="00CB4C16">
      <w:pPr>
        <w:pStyle w:val="Nivel2SM"/>
        <w:keepNext/>
        <w:spacing w:after="0"/>
      </w:pPr>
      <w:r>
        <w:rPr>
          <w:i/>
          <w:iCs/>
        </w:rPr>
        <w:t>Elaboradas por el INE</w:t>
      </w:r>
      <w:r>
        <w:t>:</w:t>
      </w:r>
    </w:p>
    <w:p w14:paraId="02DAAE18" w14:textId="4429F632" w:rsidR="00CB4C16" w:rsidRDefault="00CB4C16" w:rsidP="00CB4C16">
      <w:pPr>
        <w:pStyle w:val="Nivel3SM"/>
      </w:pPr>
      <w:r>
        <w:rPr>
          <w:i/>
          <w:iCs/>
          <w:u w:val="single"/>
        </w:rPr>
        <w:t>Censo agrario</w:t>
      </w:r>
      <w:r>
        <w:t>: Ya mencionado.</w:t>
      </w:r>
    </w:p>
    <w:p w14:paraId="11EC83A1" w14:textId="638B7AE2" w:rsidR="00CB4C16" w:rsidRDefault="00CB4C16" w:rsidP="00CB4C16">
      <w:pPr>
        <w:pStyle w:val="Nivel3SM"/>
      </w:pPr>
      <w:r>
        <w:rPr>
          <w:i/>
          <w:iCs/>
          <w:u w:val="single"/>
        </w:rPr>
        <w:t>Encuesta sobre la Estructura de las Explotaciones agrícolas</w:t>
      </w:r>
      <w:r>
        <w:t>: Es una encuesta de carácter estructural dirigida a las explotaciones agrícolas con el objeto de conocer información sobre su estructura. Forma parte del programa comunitario de encuestas sobre la estructura de las explotaciones agrícolas.</w:t>
      </w:r>
    </w:p>
    <w:p w14:paraId="036B4281" w14:textId="1DA8A3D3" w:rsidR="00CB4C16" w:rsidRDefault="00CB4C16" w:rsidP="00CB4C16">
      <w:pPr>
        <w:pStyle w:val="Nivel2SM"/>
        <w:keepNext/>
        <w:spacing w:after="0"/>
      </w:pPr>
      <w:r>
        <w:rPr>
          <w:i/>
          <w:iCs/>
        </w:rPr>
        <w:t>Elaboradas por el Ministerio de Agricultura, Pesca y Alimentación (MAPAMA)</w:t>
      </w:r>
      <w:r>
        <w:t>:</w:t>
      </w:r>
    </w:p>
    <w:p w14:paraId="5D30A015" w14:textId="11A8CF0B" w:rsidR="00CB4C16" w:rsidRDefault="00CB4C16" w:rsidP="00CB4C16">
      <w:pPr>
        <w:pStyle w:val="Nivel3SM"/>
        <w:keepNext/>
      </w:pPr>
      <w:r>
        <w:rPr>
          <w:i/>
          <w:iCs/>
        </w:rPr>
        <w:t>Estadísticas agrarias</w:t>
      </w:r>
      <w:r>
        <w:t>: Se pueden clasificar en 3 grandes grupos:</w:t>
      </w:r>
    </w:p>
    <w:p w14:paraId="382E9739" w14:textId="448F7FFA" w:rsidR="00CB4C16" w:rsidRDefault="00CB4C16" w:rsidP="00CB4C16">
      <w:pPr>
        <w:pStyle w:val="Nivel4"/>
        <w:keepNext/>
        <w:ind w:left="1474"/>
      </w:pPr>
      <w:r>
        <w:rPr>
          <w:i/>
          <w:iCs/>
        </w:rPr>
        <w:t>Economía</w:t>
      </w:r>
      <w:r>
        <w:t>: Investigan el funcionamiento de los mercados, la renta agraria y la estructura productiva y económica de las explotaciones agrícolas.</w:t>
      </w:r>
    </w:p>
    <w:p w14:paraId="7C9536B9" w14:textId="65C4B421" w:rsidR="00CB4C16" w:rsidRDefault="00CB4C16" w:rsidP="00CB4C16">
      <w:pPr>
        <w:pStyle w:val="Nivel5"/>
        <w:ind w:left="1871"/>
      </w:pPr>
      <w:r>
        <w:t>Precios coyunturales de productos agrícolas; de productos ganaderos; precios medios nacionales; Precios percibidos, pagados y salario agrario; Encuesta de precios de la tierra; Cánones anuales de arrendamientos rústicos; Red contable agraria (RECAN); Cuentas económicas de la agricultura.</w:t>
      </w:r>
    </w:p>
    <w:p w14:paraId="2E613F14" w14:textId="6D232177" w:rsidR="00CB4C16" w:rsidRDefault="00CB4C16" w:rsidP="00CB4C16">
      <w:pPr>
        <w:pStyle w:val="Nivel4"/>
        <w:keepNext/>
        <w:ind w:left="1474"/>
      </w:pPr>
      <w:r w:rsidRPr="00CB4C16">
        <w:rPr>
          <w:i/>
          <w:iCs/>
        </w:rPr>
        <w:t>Agricultura</w:t>
      </w:r>
      <w:r>
        <w:t>: Su objetivo es suministrar datos fiables para la orientación de la PAC, fundamentalmente sobre superficies cultivadas, rendimientos y producciones de distintos productos agrícolas.</w:t>
      </w:r>
    </w:p>
    <w:p w14:paraId="39543EBE" w14:textId="7A23F57D" w:rsidR="00CB4C16" w:rsidRDefault="00CB4C16" w:rsidP="00CB4C16">
      <w:pPr>
        <w:pStyle w:val="Nivel5"/>
        <w:ind w:left="1871"/>
      </w:pPr>
      <w:r>
        <w:t>Encuesta de superficies y rendimientos de cultivo; Avances mensuales de superficies y Producciones Agrícolas; Superficies y Producciones Anuales de Cultivos; Encuestas sobre plantaciones de árboles frutales; Encuestas de Viñedo; Balance del Vino; Estadísticas de Medios de Producción; Calendarios de Siembras y recolección.</w:t>
      </w:r>
    </w:p>
    <w:p w14:paraId="4A8483E3" w14:textId="03197146" w:rsidR="00CB4C16" w:rsidRDefault="00CB4C16" w:rsidP="00CB4C16">
      <w:pPr>
        <w:pStyle w:val="Nivel4"/>
        <w:keepNext/>
        <w:ind w:left="1474"/>
      </w:pPr>
      <w:r>
        <w:rPr>
          <w:i/>
          <w:iCs/>
        </w:rPr>
        <w:t>Ganadería</w:t>
      </w:r>
      <w:r>
        <w:t>: Proporcionan información sobre los efectivos de ganado de las principales especies, la producción cárnica así como de las salas de incubación y la producción y estructura de las industrias lácteas.</w:t>
      </w:r>
    </w:p>
    <w:p w14:paraId="554E8A4F" w14:textId="5FFD32CF" w:rsidR="00CB4C16" w:rsidRDefault="00C929E1" w:rsidP="00CB4C16">
      <w:pPr>
        <w:pStyle w:val="Nivel5"/>
        <w:ind w:left="1871"/>
      </w:pPr>
      <w:r>
        <w:t>Encuestas ganaderas; Encuestas de sacrificio de ganado; Estadística de industria lácteas; Encuesta mensual y anual de salas de incubación; Encuesta nacional de cunicultura; Estadística de lana, miel y huevos para el consumo humano.</w:t>
      </w:r>
    </w:p>
    <w:p w14:paraId="4BA70646" w14:textId="6D9D7B19" w:rsidR="00CB4C16" w:rsidRDefault="00CB4C16" w:rsidP="00CB4C16">
      <w:pPr>
        <w:pStyle w:val="Nivel3SM"/>
        <w:keepNext/>
      </w:pPr>
      <w:r>
        <w:rPr>
          <w:i/>
          <w:iCs/>
        </w:rPr>
        <w:t>Estadísticas pesqueras</w:t>
      </w:r>
      <w:r w:rsidRPr="00CB4C16">
        <w:t>:</w:t>
      </w:r>
      <w:r w:rsidR="00C929E1">
        <w:t xml:space="preserve"> Proporcionan información sobre la pesca marítima, fluvial y la acuicultura.</w:t>
      </w:r>
    </w:p>
    <w:p w14:paraId="7418E7E8" w14:textId="0CBD4445" w:rsidR="00CB4C16" w:rsidRPr="008913DA" w:rsidRDefault="00C929E1" w:rsidP="00CB4C16">
      <w:pPr>
        <w:pStyle w:val="Nivel4"/>
        <w:ind w:left="1474"/>
      </w:pPr>
      <w:r>
        <w:t>Encuesta económica de pesca marítima; Estadística de la Flota Pesquera; Estadísticas de Capturas y Desembarcos de Pesca Marítima; Encuesta económica de acuicultura; Encuesta de establecimientos de acuicultura; y Encuesta anual de pesca fluvial.</w:t>
      </w:r>
    </w:p>
    <w:p w14:paraId="154F6D40" w14:textId="77777777" w:rsidR="008913DA" w:rsidRDefault="008913DA" w:rsidP="005757F8">
      <w:pPr>
        <w:pStyle w:val="Ttulo6"/>
        <w:spacing w:before="0"/>
      </w:pPr>
      <w:bookmarkStart w:id="51" w:name="_Toc177739153"/>
      <w:r>
        <w:t>Energía</w:t>
      </w:r>
      <w:bookmarkEnd w:id="51"/>
    </w:p>
    <w:p w14:paraId="72B44C82" w14:textId="2B64D99B" w:rsidR="008913DA" w:rsidRDefault="007C7A6A" w:rsidP="009A37CF">
      <w:pPr>
        <w:pStyle w:val="Nivel1SM"/>
        <w:keepNext/>
        <w:keepLines/>
        <w:spacing w:before="0" w:after="0"/>
      </w:pPr>
      <w:r>
        <w:t xml:space="preserve">El </w:t>
      </w:r>
      <w:r w:rsidRPr="00030E31">
        <w:rPr>
          <w:i/>
          <w:iCs/>
        </w:rPr>
        <w:t>Ministerio para la Transición Ecológica y el Reto Demográfico</w:t>
      </w:r>
      <w:r w:rsidRPr="007C7A6A">
        <w:t xml:space="preserve"> (MITECO)</w:t>
      </w:r>
      <w:r>
        <w:t>, elabora las estadísticas energéticas, que permiten conocer en detalle el sector eléctrico español, Entre las operaciones que realiza cabe destacar las Estadísticas eléctricas anuales y mensuales; las Estadísticas de destilación del carbón anuales y mensuales; las Estadísticas anuales de gas; y las Estadísticas mensuales de refinería del petróleo.</w:t>
      </w:r>
    </w:p>
    <w:p w14:paraId="11186E6A" w14:textId="0E823073" w:rsidR="008913DA" w:rsidRPr="009A37CF" w:rsidRDefault="00B9318F" w:rsidP="008913DA">
      <w:pPr>
        <w:pStyle w:val="Nivel2SM"/>
        <w:rPr>
          <w:spacing w:val="-2"/>
        </w:rPr>
      </w:pPr>
      <w:r w:rsidRPr="009A37CF">
        <w:rPr>
          <w:spacing w:val="-2"/>
        </w:rPr>
        <w:t>Además, elabora los balances energéticos que incluyen las publicaciones del Boletín trimestral de Coyuntura Energética y Balance Energético; donde se recopila toda la información de las distintas estadísticas de base (productos petrolíferos, gas natural, carbón, electricidad y energías renovables) y los principales agregados que definen el balance energético (producción de energía, consumo de energía primaria, consumo de energía final y balance eléctrico).</w:t>
      </w:r>
    </w:p>
    <w:p w14:paraId="38340333" w14:textId="5604DD60" w:rsidR="001F2636" w:rsidRDefault="001F2636" w:rsidP="005757F8">
      <w:pPr>
        <w:pStyle w:val="Ttulo6"/>
        <w:spacing w:before="0"/>
      </w:pPr>
      <w:bookmarkStart w:id="52" w:name="_Toc177739154"/>
      <w:r>
        <w:lastRenderedPageBreak/>
        <w:t>Industria</w:t>
      </w:r>
      <w:bookmarkEnd w:id="52"/>
    </w:p>
    <w:p w14:paraId="50842238" w14:textId="358808A5" w:rsidR="001F2636" w:rsidRPr="001F2636" w:rsidRDefault="001F2636" w:rsidP="001F2636">
      <w:pPr>
        <w:pStyle w:val="Nivel1SM"/>
        <w:spacing w:before="0"/>
      </w:pPr>
      <w:r>
        <w:t>El INE elabora una serie de indicadores coyunturales que permiten conocer el desempeño del sector industrial en el corto plazo.</w:t>
      </w:r>
    </w:p>
    <w:p w14:paraId="2A5E855C" w14:textId="53AD3E18" w:rsidR="007C7516" w:rsidRPr="00A6405C" w:rsidRDefault="007C7516" w:rsidP="001F2636">
      <w:pPr>
        <w:pStyle w:val="Ttulo7"/>
      </w:pPr>
      <w:r w:rsidRPr="00A6405C">
        <w:t>Índice de Producción Industrial (IPI) base 2010</w:t>
      </w:r>
    </w:p>
    <w:p w14:paraId="2CDC7CDA" w14:textId="1CE7830A" w:rsidR="007C7516" w:rsidRPr="0087412E" w:rsidRDefault="007C7516" w:rsidP="005D7032">
      <w:pPr>
        <w:pStyle w:val="Nivel2SM"/>
        <w:rPr>
          <w:spacing w:val="-3"/>
        </w:rPr>
      </w:pPr>
      <w:r w:rsidRPr="0087412E">
        <w:rPr>
          <w:spacing w:val="-3"/>
        </w:rPr>
        <w:t xml:space="preserve">Mide la evolución de la actividad productiva de las ramas industriales </w:t>
      </w:r>
      <w:r w:rsidR="00E75E98" w:rsidRPr="00EB2CCA">
        <w:rPr>
          <w:rFonts w:cs="Times New Roman"/>
        </w:rPr>
        <w:t>contenidas en la Clasificación Nacional de Actividades Económicas 2009 (CNAE-09)</w:t>
      </w:r>
      <w:r w:rsidR="00E75E98" w:rsidRPr="0087412E">
        <w:rPr>
          <w:spacing w:val="-3"/>
        </w:rPr>
        <w:t xml:space="preserve"> </w:t>
      </w:r>
      <w:r w:rsidRPr="0087412E">
        <w:rPr>
          <w:spacing w:val="-3"/>
        </w:rPr>
        <w:t>excluida la construcción</w:t>
      </w:r>
      <w:r w:rsidR="00E75E98">
        <w:rPr>
          <w:spacing w:val="-3"/>
        </w:rPr>
        <w:t>,</w:t>
      </w:r>
      <w:r w:rsidR="00AB58A7">
        <w:rPr>
          <w:spacing w:val="-3"/>
        </w:rPr>
        <w:t xml:space="preserve"> en términos de valor añadido</w:t>
      </w:r>
      <w:r w:rsidR="001039A6">
        <w:rPr>
          <w:spacing w:val="-3"/>
        </w:rPr>
        <w:t>, a través de una encuesta de periodicidad mensual</w:t>
      </w:r>
      <w:r w:rsidR="001E23AB" w:rsidRPr="0087412E">
        <w:rPr>
          <w:spacing w:val="-3"/>
        </w:rPr>
        <w:t>.</w:t>
      </w:r>
    </w:p>
    <w:p w14:paraId="40AB7BB1" w14:textId="475ADB16" w:rsidR="007C7516" w:rsidRPr="001039A6" w:rsidRDefault="007C7516" w:rsidP="005D7032">
      <w:pPr>
        <w:pStyle w:val="Nivel2SM"/>
      </w:pPr>
      <w:r w:rsidRPr="00A6405C">
        <w:t xml:space="preserve">El índice se configura como </w:t>
      </w:r>
      <w:r w:rsidRPr="00A6405C">
        <w:rPr>
          <w:bCs/>
        </w:rPr>
        <w:t xml:space="preserve">un </w:t>
      </w:r>
      <w:r w:rsidR="001F2636">
        <w:rPr>
          <w:bCs/>
        </w:rPr>
        <w:t xml:space="preserve">índice de </w:t>
      </w:r>
      <w:r w:rsidRPr="00A6405C">
        <w:rPr>
          <w:bCs/>
        </w:rPr>
        <w:t>Laspeyres</w:t>
      </w:r>
      <w:r w:rsidR="00AB58A7">
        <w:rPr>
          <w:bCs/>
        </w:rPr>
        <w:t xml:space="preserve"> de base fija</w:t>
      </w:r>
      <w:r w:rsidRPr="00A6405C">
        <w:rPr>
          <w:bCs/>
        </w:rPr>
        <w:t>, con base en 2010</w:t>
      </w:r>
      <w:r w:rsidR="00AB58A7">
        <w:rPr>
          <w:rStyle w:val="Refdenotaalpie"/>
          <w:rFonts w:cs="Times New Roman"/>
          <w:bCs/>
        </w:rPr>
        <w:footnoteReference w:id="14"/>
      </w:r>
      <w:r w:rsidRPr="00A6405C">
        <w:rPr>
          <w:bCs/>
        </w:rPr>
        <w:t>.</w:t>
      </w:r>
    </w:p>
    <w:p w14:paraId="73C7A181" w14:textId="02A1B827" w:rsidR="001039A6" w:rsidRPr="00A6405C" w:rsidRDefault="001039A6" w:rsidP="005D7032">
      <w:pPr>
        <w:pStyle w:val="Nivel2SM"/>
      </w:pPr>
      <w:r>
        <w:rPr>
          <w:spacing w:val="-3"/>
        </w:rPr>
        <w:t>El índice se publica mensualmente y ofrece información por destino económico de los bienes a nivel nacional y por CC.AA. y por rama de actividad solo a nivel nacional.</w:t>
      </w:r>
    </w:p>
    <w:p w14:paraId="1BD53328" w14:textId="77777777" w:rsidR="00B62DA0" w:rsidRDefault="00B62DA0" w:rsidP="001F2636">
      <w:pPr>
        <w:pStyle w:val="Ttulo7"/>
      </w:pPr>
      <w:r>
        <w:t>Índices de entrada de pedidos en la industria</w:t>
      </w:r>
    </w:p>
    <w:p w14:paraId="30BE943B" w14:textId="3914A792" w:rsidR="00B62DA0" w:rsidRPr="00B62DA0" w:rsidRDefault="00B62DA0" w:rsidP="00B62DA0">
      <w:pPr>
        <w:pStyle w:val="Nivel2SM"/>
      </w:pPr>
      <w:r>
        <w:t>Mide la evolución de la demanda futura dirigida al sector industrial, se publica mensualmente. Comenzó a recogerse la información necesaria para su construcción en 2002, con una encuesta continua con la que también se elabora el siguiente índice.</w:t>
      </w:r>
    </w:p>
    <w:p w14:paraId="470F7FA3" w14:textId="31CEB853" w:rsidR="00B62DA0" w:rsidRDefault="00B62DA0" w:rsidP="001F2636">
      <w:pPr>
        <w:pStyle w:val="Ttulo7"/>
      </w:pPr>
      <w:r>
        <w:t>Índices de cifras de negocios en la industria</w:t>
      </w:r>
    </w:p>
    <w:p w14:paraId="462CAE75" w14:textId="10B856BF" w:rsidR="00B62DA0" w:rsidRPr="00B62DA0" w:rsidRDefault="00B62DA0" w:rsidP="00B62DA0">
      <w:pPr>
        <w:pStyle w:val="Nivel2SM"/>
      </w:pPr>
      <w:r>
        <w:t>Mide la evolución de la demanda dirigida al sector industrial.</w:t>
      </w:r>
    </w:p>
    <w:p w14:paraId="0DB5131D" w14:textId="00408A8A" w:rsidR="007C7516" w:rsidRPr="00A6405C" w:rsidRDefault="007C7516" w:rsidP="001F2636">
      <w:pPr>
        <w:pStyle w:val="Ttulo7"/>
      </w:pPr>
      <w:r w:rsidRPr="00A6405C">
        <w:t>Encuesta Coyuntural Industrial</w:t>
      </w:r>
    </w:p>
    <w:p w14:paraId="199AF059" w14:textId="0AE48C38" w:rsidR="007C7516" w:rsidRPr="00A6405C" w:rsidRDefault="007C7516" w:rsidP="00585028">
      <w:pPr>
        <w:pStyle w:val="Nivel2SM"/>
        <w:keepNext/>
        <w:spacing w:after="0"/>
      </w:pPr>
      <w:r w:rsidRPr="00A6405C">
        <w:t xml:space="preserve">Intenta captar la </w:t>
      </w:r>
      <w:r w:rsidRPr="0070656D">
        <w:t>opinión de los gestores</w:t>
      </w:r>
      <w:r w:rsidRPr="001E23AB">
        <w:t xml:space="preserve"> de las empresas industriales</w:t>
      </w:r>
      <w:r w:rsidRPr="00A6405C">
        <w:t xml:space="preserve"> acerca de una serie de </w:t>
      </w:r>
      <w:r w:rsidRPr="0070656D">
        <w:t xml:space="preserve">variables claves </w:t>
      </w:r>
      <w:r w:rsidR="0070656D" w:rsidRPr="0070656D">
        <w:t xml:space="preserve">de </w:t>
      </w:r>
      <w:r w:rsidRPr="0070656D">
        <w:t>la situación industrial</w:t>
      </w:r>
      <w:r w:rsidRPr="00A6405C">
        <w:t>:</w:t>
      </w:r>
    </w:p>
    <w:p w14:paraId="68034233" w14:textId="03E0AD23" w:rsidR="007C7516" w:rsidRPr="00A6405C" w:rsidRDefault="007C7516" w:rsidP="00585028">
      <w:pPr>
        <w:pStyle w:val="Nivel3SM"/>
      </w:pPr>
      <w:r w:rsidRPr="00A6405C">
        <w:t>La cartera de pedidos, los stocks de productos terminados, la producción, los precios de venta y el empleo.</w:t>
      </w:r>
    </w:p>
    <w:p w14:paraId="600F7D63" w14:textId="4C0AB4F4" w:rsidR="007C7516" w:rsidRPr="00A6405C" w:rsidRDefault="007C7516" w:rsidP="00585028">
      <w:pPr>
        <w:pStyle w:val="Nivel2SM"/>
        <w:keepNext/>
        <w:spacing w:after="0"/>
      </w:pPr>
      <w:r w:rsidRPr="00A6405C">
        <w:t xml:space="preserve">De la ECI se extrae el </w:t>
      </w:r>
      <w:r w:rsidRPr="0070656D">
        <w:t>Indicador de Clima Industrial (ICI)</w:t>
      </w:r>
      <w:r w:rsidRPr="00A6405C">
        <w:t>:</w:t>
      </w:r>
    </w:p>
    <w:p w14:paraId="4D4A1728" w14:textId="4FBA0C84" w:rsidR="007C7516" w:rsidRPr="00A6405C" w:rsidRDefault="007C7516" w:rsidP="00585028">
      <w:pPr>
        <w:pStyle w:val="Nivel3SM"/>
      </w:pPr>
      <w:r w:rsidRPr="00A6405C">
        <w:t xml:space="preserve">Mide el </w:t>
      </w:r>
      <w:r w:rsidRPr="005D68CF">
        <w:t>grado de optimismo</w:t>
      </w:r>
      <w:r w:rsidRPr="00A6405C">
        <w:t xml:space="preserve"> de los empresarios del sector industrial (con la media de las ICI de cada país la UE publica el ICI armonizado).</w:t>
      </w:r>
    </w:p>
    <w:p w14:paraId="2E672B5B" w14:textId="77777777" w:rsidR="007C7516" w:rsidRPr="00A6405C" w:rsidRDefault="007C7516" w:rsidP="00585028">
      <w:pPr>
        <w:pStyle w:val="Nivel2SM"/>
        <w:keepNext/>
        <w:spacing w:after="0"/>
      </w:pPr>
      <w:r w:rsidRPr="00A6405C">
        <w:t>Elaboración:</w:t>
      </w:r>
    </w:p>
    <w:p w14:paraId="0D3BC32B" w14:textId="7BAFB2BF" w:rsidR="007C7516" w:rsidRPr="004B6666" w:rsidRDefault="007C7516" w:rsidP="00D17114">
      <w:pPr>
        <w:pStyle w:val="Nivel3SM"/>
      </w:pPr>
      <w:r w:rsidRPr="00A6405C">
        <w:t xml:space="preserve">La elabora mensual y trimestralmente el </w:t>
      </w:r>
      <w:r w:rsidR="00D17114" w:rsidRPr="00D17114">
        <w:t xml:space="preserve">Ministerio de </w:t>
      </w:r>
      <w:r w:rsidR="009A37CF">
        <w:t>Industria, Comercio y Turismo</w:t>
      </w:r>
      <w:r w:rsidRPr="00A6405C">
        <w:t>.</w:t>
      </w:r>
    </w:p>
    <w:p w14:paraId="09092A0F" w14:textId="749FC6DE" w:rsidR="001F2636" w:rsidRDefault="001F2636" w:rsidP="005D7032">
      <w:pPr>
        <w:pStyle w:val="Ttulo6"/>
      </w:pPr>
      <w:bookmarkStart w:id="53" w:name="_Toc177739155"/>
      <w:r>
        <w:t>Construcción</w:t>
      </w:r>
      <w:bookmarkEnd w:id="53"/>
    </w:p>
    <w:p w14:paraId="637450F6" w14:textId="2505FEB6" w:rsidR="007C7516" w:rsidRPr="005D7032" w:rsidRDefault="007324AF" w:rsidP="007324AF">
      <w:pPr>
        <w:pStyle w:val="Nivel2SM"/>
        <w:keepNext/>
        <w:spacing w:after="0"/>
      </w:pPr>
      <w:r>
        <w:t xml:space="preserve">Destaca la </w:t>
      </w:r>
      <w:r w:rsidR="008D6CB7" w:rsidRPr="007324AF">
        <w:rPr>
          <w:i/>
          <w:iCs/>
          <w:u w:val="single"/>
        </w:rPr>
        <w:t xml:space="preserve">Encuesta </w:t>
      </w:r>
      <w:r w:rsidR="007C7516" w:rsidRPr="007324AF">
        <w:rPr>
          <w:i/>
          <w:iCs/>
          <w:u w:val="single"/>
        </w:rPr>
        <w:t>Coyuntura</w:t>
      </w:r>
      <w:r w:rsidR="008D6CB7" w:rsidRPr="007324AF">
        <w:rPr>
          <w:i/>
          <w:iCs/>
          <w:u w:val="single"/>
        </w:rPr>
        <w:t>l</w:t>
      </w:r>
      <w:r w:rsidR="007C7516" w:rsidRPr="007324AF">
        <w:rPr>
          <w:i/>
          <w:iCs/>
          <w:u w:val="single"/>
        </w:rPr>
        <w:t xml:space="preserve"> de la Construcción</w:t>
      </w:r>
      <w:r>
        <w:t>.</w:t>
      </w:r>
    </w:p>
    <w:p w14:paraId="0052EC00" w14:textId="77777777" w:rsidR="007C7516" w:rsidRPr="00A6405C" w:rsidRDefault="007C7516" w:rsidP="007324AF">
      <w:pPr>
        <w:pStyle w:val="Nivel3SM"/>
      </w:pPr>
      <w:r w:rsidRPr="00A6405C">
        <w:t>De ella se extrae el Indicador de Clima de la Construcción (ICC).</w:t>
      </w:r>
    </w:p>
    <w:p w14:paraId="5E7D2ECD" w14:textId="6726DEFC" w:rsidR="007C7516" w:rsidRPr="005D7032" w:rsidRDefault="007C7516" w:rsidP="007324AF">
      <w:pPr>
        <w:pStyle w:val="Nivel3SM"/>
      </w:pPr>
      <w:r w:rsidRPr="00A6405C">
        <w:t>Se realizan índices de diverso tipo</w:t>
      </w:r>
      <w:r w:rsidR="0070656D">
        <w:t xml:space="preserve"> como por ejemplo de </w:t>
      </w:r>
      <w:r w:rsidRPr="00A6405C">
        <w:t>consumo de materiales de construcción (cemento, vidrio, ladrillos, cerámica…).</w:t>
      </w:r>
    </w:p>
    <w:p w14:paraId="63D3E14D" w14:textId="640189E7" w:rsidR="007C7516" w:rsidRDefault="007C7516" w:rsidP="004B6666">
      <w:pPr>
        <w:pStyle w:val="Ttulo6"/>
      </w:pPr>
      <w:bookmarkStart w:id="54" w:name="_Toc177739156"/>
      <w:r w:rsidRPr="00A6405C">
        <w:lastRenderedPageBreak/>
        <w:t>Sector servicios</w:t>
      </w:r>
      <w:bookmarkEnd w:id="54"/>
    </w:p>
    <w:p w14:paraId="741CC71E" w14:textId="77777777" w:rsidR="00437EE8" w:rsidRDefault="00437EE8" w:rsidP="003A551F">
      <w:pPr>
        <w:pStyle w:val="Notaalopositor"/>
      </w:pPr>
      <w:r>
        <w:t>Convendría desarrollar esto.</w:t>
      </w:r>
    </w:p>
    <w:p w14:paraId="07F12136" w14:textId="77777777" w:rsidR="004878F3" w:rsidRDefault="004878F3" w:rsidP="003A551F">
      <w:pPr>
        <w:pStyle w:val="Ttulo7"/>
        <w:spacing w:before="0"/>
      </w:pPr>
      <w:r>
        <w:t>Sector servicios en general</w:t>
      </w:r>
    </w:p>
    <w:p w14:paraId="6883F5C4" w14:textId="77777777" w:rsidR="003A551F" w:rsidRPr="005D7032" w:rsidRDefault="003A551F" w:rsidP="003A551F">
      <w:pPr>
        <w:pStyle w:val="Nivel2SM"/>
      </w:pPr>
      <w:r w:rsidRPr="00A6405C">
        <w:t>En el caso del sector servicios, su información es la más precaria y dispersa, ya que no existen fuentes tan sistemáticas y homogéneas como en otros sectores.</w:t>
      </w:r>
    </w:p>
    <w:p w14:paraId="29784DD3" w14:textId="77777777" w:rsidR="003A551F" w:rsidRPr="00A6405C" w:rsidRDefault="003A551F" w:rsidP="003A551F">
      <w:pPr>
        <w:pStyle w:val="Nivel2SM"/>
        <w:keepNext/>
        <w:spacing w:after="0"/>
      </w:pPr>
      <w:r w:rsidRPr="00A6405C">
        <w:t>En los últimos años se ha hecho un importante esfuerzo de mejora y armonización con la UE. Así se elabora:</w:t>
      </w:r>
    </w:p>
    <w:p w14:paraId="074E6788" w14:textId="77777777" w:rsidR="003A551F" w:rsidRPr="00A6405C" w:rsidRDefault="003A551F" w:rsidP="003A551F">
      <w:pPr>
        <w:pStyle w:val="Nivel3SM"/>
      </w:pPr>
      <w:r w:rsidRPr="00A6405C">
        <w:t>La Encuesta Anual del Sector Servicios (estructural).</w:t>
      </w:r>
    </w:p>
    <w:p w14:paraId="65E671A5" w14:textId="77777777" w:rsidR="003A551F" w:rsidRDefault="003A551F" w:rsidP="003A551F">
      <w:pPr>
        <w:pStyle w:val="Nivel3SM"/>
      </w:pPr>
      <w:r w:rsidRPr="00A6405C">
        <w:t>Los Indicadores de Actividad del Sector Servicios (IASS), de carácter mensual.</w:t>
      </w:r>
    </w:p>
    <w:p w14:paraId="13360FD4" w14:textId="1C09F768" w:rsidR="003A551F" w:rsidRPr="000B33E0" w:rsidRDefault="003A551F" w:rsidP="003A551F">
      <w:pPr>
        <w:pStyle w:val="Nivel2SM"/>
      </w:pPr>
      <w:r w:rsidRPr="00A6405C">
        <w:rPr>
          <w:iCs/>
        </w:rPr>
        <w:t xml:space="preserve">Además, para </w:t>
      </w:r>
      <w:r w:rsidRPr="00A6405C">
        <w:t>algunos subsectores, como el transporte o turismo, existen fuentes puntuales.</w:t>
      </w:r>
    </w:p>
    <w:p w14:paraId="11733475" w14:textId="77777777" w:rsidR="004878F3" w:rsidRDefault="004878F3" w:rsidP="004878F3">
      <w:pPr>
        <w:pStyle w:val="Ttulo7"/>
      </w:pPr>
      <w:r>
        <w:t>Comercio</w:t>
      </w:r>
    </w:p>
    <w:p w14:paraId="59F9713D" w14:textId="77777777" w:rsidR="003A551F" w:rsidRPr="003A551F" w:rsidRDefault="003A551F" w:rsidP="003A551F">
      <w:pPr>
        <w:pStyle w:val="Nivel2SM"/>
      </w:pPr>
    </w:p>
    <w:p w14:paraId="06BD8651" w14:textId="23B507E6" w:rsidR="004878F3" w:rsidRDefault="004878F3" w:rsidP="004878F3">
      <w:pPr>
        <w:pStyle w:val="Ttulo7"/>
      </w:pPr>
      <w:r>
        <w:t>Tra</w:t>
      </w:r>
      <w:r w:rsidR="003A551F">
        <w:t>n</w:t>
      </w:r>
      <w:r>
        <w:t>sporte</w:t>
      </w:r>
    </w:p>
    <w:p w14:paraId="222DDE08" w14:textId="77777777" w:rsidR="003A551F" w:rsidRPr="003A551F" w:rsidRDefault="003A551F" w:rsidP="003A551F">
      <w:pPr>
        <w:pStyle w:val="Nivel2SM"/>
      </w:pPr>
    </w:p>
    <w:p w14:paraId="7552DACF" w14:textId="77777777" w:rsidR="004878F3" w:rsidRDefault="004878F3" w:rsidP="004878F3">
      <w:pPr>
        <w:pStyle w:val="Ttulo7"/>
      </w:pPr>
      <w:r>
        <w:t>Turismo</w:t>
      </w:r>
    </w:p>
    <w:p w14:paraId="1C01A25E" w14:textId="0EB82053" w:rsidR="003A551F" w:rsidRPr="0011258D" w:rsidRDefault="0011258D" w:rsidP="003A551F">
      <w:pPr>
        <w:pStyle w:val="Nivel2SM"/>
      </w:pPr>
      <w:r w:rsidRPr="0011258D">
        <w:t>Estadísticas de movimientos turísticos en frontera:</w:t>
      </w:r>
    </w:p>
    <w:p w14:paraId="0E3C370F" w14:textId="564C643D" w:rsidR="0011258D" w:rsidRDefault="0011258D" w:rsidP="003A551F">
      <w:pPr>
        <w:pStyle w:val="Nivel2SM"/>
      </w:pPr>
      <w:r>
        <w:t>Encuesta de Gasto Turístico (EGATUR):</w:t>
      </w:r>
    </w:p>
    <w:p w14:paraId="6ABCA088" w14:textId="584D88E1" w:rsidR="0011258D" w:rsidRPr="0011258D" w:rsidRDefault="0011258D" w:rsidP="003A551F">
      <w:pPr>
        <w:pStyle w:val="Nivel2SM"/>
      </w:pPr>
      <w:r>
        <w:t>Encuesta de Turismo de Residentes (FAMILITUR):</w:t>
      </w:r>
    </w:p>
    <w:p w14:paraId="2E870D48" w14:textId="4AB208CF" w:rsidR="003A551F" w:rsidRPr="00135D04" w:rsidRDefault="003A551F" w:rsidP="003A551F">
      <w:pPr>
        <w:pStyle w:val="Nivel2SM"/>
      </w:pPr>
      <w:r w:rsidRPr="00A6405C">
        <w:t xml:space="preserve">En el caso del turismo, además, el INE elabora anualmente la </w:t>
      </w:r>
      <w:r w:rsidRPr="00A6405C">
        <w:rPr>
          <w:b/>
        </w:rPr>
        <w:t>Cuenta Satélite del Turismo de España</w:t>
      </w:r>
      <w:r w:rsidRPr="00A6405C">
        <w:t xml:space="preserve">, basada en la metodología de la </w:t>
      </w:r>
      <w:r w:rsidR="004310D0">
        <w:t>contabilidad nacional</w:t>
      </w:r>
      <w:r w:rsidRPr="00A6405C">
        <w:t xml:space="preserve"> (SEC-2010), que presenta los distintos parámetros económicos del turismo en España.</w:t>
      </w:r>
    </w:p>
    <w:p w14:paraId="6B7BB5FA" w14:textId="12710498" w:rsidR="004878F3" w:rsidRDefault="004878F3" w:rsidP="004878F3">
      <w:pPr>
        <w:pStyle w:val="Ttulo7"/>
      </w:pPr>
      <w:r>
        <w:t>Servicios financieros</w:t>
      </w:r>
    </w:p>
    <w:p w14:paraId="0C998EF0" w14:textId="5DEE0C21" w:rsidR="003A551F" w:rsidRPr="003A551F" w:rsidRDefault="00EE0BB5" w:rsidP="003A551F">
      <w:pPr>
        <w:pStyle w:val="Nivel2SM"/>
      </w:pPr>
      <w:r>
        <w:t xml:space="preserve">Estadísticas elaboradas por el </w:t>
      </w:r>
      <w:proofErr w:type="spellStart"/>
      <w:r>
        <w:t>BdE</w:t>
      </w:r>
      <w:proofErr w:type="spellEnd"/>
      <w:r>
        <w:t>, la CNMV y la Dirección General de Seguros y Fondos de Pensiones.</w:t>
      </w:r>
    </w:p>
    <w:p w14:paraId="53687DB5" w14:textId="39ACFCE1" w:rsidR="001F2636" w:rsidRDefault="001F2636" w:rsidP="001F2636">
      <w:pPr>
        <w:pStyle w:val="Ttulo6"/>
      </w:pPr>
      <w:bookmarkStart w:id="55" w:name="_Toc177739157"/>
      <w:r>
        <w:t>Indicadores generales de actividad</w:t>
      </w:r>
      <w:bookmarkEnd w:id="55"/>
    </w:p>
    <w:p w14:paraId="68C1D94E" w14:textId="22F0B205" w:rsidR="001F2636" w:rsidRPr="007F16D0" w:rsidRDefault="007F16D0" w:rsidP="007F16D0">
      <w:pPr>
        <w:pStyle w:val="Nivel2SM"/>
        <w:keepNext/>
        <w:spacing w:after="0"/>
        <w:rPr>
          <w:highlight w:val="yellow"/>
        </w:rPr>
      </w:pPr>
      <w:r w:rsidRPr="007F16D0">
        <w:rPr>
          <w:i/>
          <w:iCs/>
          <w:highlight w:val="yellow"/>
          <w:u w:val="single"/>
        </w:rPr>
        <w:t>Indicador sintético de actividad económica</w:t>
      </w:r>
      <w:r w:rsidRPr="007F16D0">
        <w:rPr>
          <w:highlight w:val="yellow"/>
        </w:rPr>
        <w:t>: Elaborado mensualmente por el Ministerio de Asuntos Económicos y Transformación Digital (Dirección General de Análisis Macroeconómico).</w:t>
      </w:r>
    </w:p>
    <w:p w14:paraId="6107BA2C" w14:textId="3ED42C69" w:rsidR="007F16D0" w:rsidRPr="007F16D0" w:rsidRDefault="007F16D0" w:rsidP="007F16D0">
      <w:pPr>
        <w:pStyle w:val="Nivel3SM"/>
        <w:rPr>
          <w:highlight w:val="yellow"/>
        </w:rPr>
      </w:pPr>
      <w:r w:rsidRPr="007F16D0">
        <w:rPr>
          <w:highlight w:val="yellow"/>
        </w:rPr>
        <w:t xml:space="preserve">No es una mensualización del PIB, es decir, no ajusta la evolución del </w:t>
      </w:r>
      <w:proofErr w:type="spellStart"/>
      <w:r w:rsidRPr="007F16D0">
        <w:rPr>
          <w:highlight w:val="yellow"/>
        </w:rPr>
        <w:t>agg</w:t>
      </w:r>
      <w:proofErr w:type="spellEnd"/>
      <w:r w:rsidRPr="007F16D0">
        <w:rPr>
          <w:highlight w:val="yellow"/>
        </w:rPr>
        <w:t xml:space="preserve"> siguiendo una metodología determinada. Es la síntesis de numerosos indicadores, muchos de ellos igualmente usados para la trimestralización del PIB, pero agregados para reflejar en una sola serie toda la información relevante y significativa.</w:t>
      </w:r>
    </w:p>
    <w:p w14:paraId="48040EE4" w14:textId="31E4AA04" w:rsidR="00D94871" w:rsidRPr="000B33E0" w:rsidRDefault="00D94871" w:rsidP="00135D04">
      <w:pPr>
        <w:pStyle w:val="Ttulo3"/>
      </w:pPr>
      <w:bookmarkStart w:id="56" w:name="_Toc177739158"/>
      <w:r w:rsidRPr="00A6405C">
        <w:t>Estadísticas del mercado de trabajo</w:t>
      </w:r>
      <w:bookmarkEnd w:id="56"/>
    </w:p>
    <w:p w14:paraId="70273180" w14:textId="1B29E937" w:rsidR="00813EF0" w:rsidRPr="000B33E0" w:rsidRDefault="00813EF0" w:rsidP="004B6666">
      <w:pPr>
        <w:pStyle w:val="Ttulo6"/>
        <w:spacing w:before="0"/>
      </w:pPr>
      <w:bookmarkStart w:id="57" w:name="_Toc177739159"/>
      <w:r w:rsidRPr="00281337">
        <w:t>Encuesta de Población Activa (EPA)</w:t>
      </w:r>
      <w:bookmarkEnd w:id="57"/>
    </w:p>
    <w:p w14:paraId="2AA2E3BA" w14:textId="4E8DB14A" w:rsidR="00FF5C48" w:rsidRPr="00281337" w:rsidRDefault="00077B1B" w:rsidP="00DD4642">
      <w:pPr>
        <w:pStyle w:val="Nivel2SM"/>
        <w:keepNext/>
        <w:spacing w:after="0"/>
      </w:pPr>
      <w:r w:rsidRPr="00DD4642">
        <w:rPr>
          <w:u w:val="single"/>
        </w:rPr>
        <w:t>Definición</w:t>
      </w:r>
      <w:r w:rsidR="00FF5C48" w:rsidRPr="00281337">
        <w:t>:</w:t>
      </w:r>
    </w:p>
    <w:p w14:paraId="46072386" w14:textId="7E7D678F" w:rsidR="00FF5C48" w:rsidRPr="00281337" w:rsidRDefault="00FF5C48" w:rsidP="00DD4642">
      <w:pPr>
        <w:pStyle w:val="Nivel3SM"/>
      </w:pPr>
      <w:r w:rsidRPr="00281337">
        <w:t>Su finalidad principal es obtener datos sobre personas inactivas, activas, ocupadas y paradas.</w:t>
      </w:r>
    </w:p>
    <w:p w14:paraId="343EEF1F" w14:textId="5BCFD0E4" w:rsidR="00FF5C48" w:rsidRPr="00FF5C48" w:rsidRDefault="00FF5C48" w:rsidP="00DD4642">
      <w:pPr>
        <w:pStyle w:val="Nivel3SM"/>
      </w:pPr>
      <w:r w:rsidRPr="00281337">
        <w:t>Se considera el mejor indicador de empleo y desempleo de España.</w:t>
      </w:r>
    </w:p>
    <w:p w14:paraId="6D6852C6" w14:textId="77777777" w:rsidR="00813EF0" w:rsidRPr="00281337" w:rsidRDefault="00FF5C48" w:rsidP="00DD4642">
      <w:pPr>
        <w:pStyle w:val="Nivel2SM"/>
        <w:keepNext/>
        <w:spacing w:after="0"/>
      </w:pPr>
      <w:r w:rsidRPr="00DD4642">
        <w:rPr>
          <w:u w:val="single"/>
        </w:rPr>
        <w:t>Encuesta</w:t>
      </w:r>
      <w:r w:rsidR="00813EF0" w:rsidRPr="00281337">
        <w:t>:</w:t>
      </w:r>
    </w:p>
    <w:p w14:paraId="563C5FF4" w14:textId="77777777" w:rsidR="00813EF0" w:rsidRPr="00281337" w:rsidRDefault="00813EF0" w:rsidP="00DD4642">
      <w:pPr>
        <w:pStyle w:val="Nivel3SM"/>
      </w:pPr>
      <w:r w:rsidRPr="00281337">
        <w:t xml:space="preserve">Realizada </w:t>
      </w:r>
      <w:r w:rsidRPr="001B2E10">
        <w:rPr>
          <w:b/>
          <w:u w:val="single"/>
        </w:rPr>
        <w:t>trimestralmente</w:t>
      </w:r>
      <w:r w:rsidRPr="00281337">
        <w:t xml:space="preserve"> por el INE desde 1964.</w:t>
      </w:r>
    </w:p>
    <w:p w14:paraId="6539EE60" w14:textId="45948456" w:rsidR="00813EF0" w:rsidRPr="00281337" w:rsidRDefault="00813EF0" w:rsidP="00DD4642">
      <w:pPr>
        <w:pStyle w:val="Nivel3SM"/>
      </w:pPr>
      <w:r w:rsidRPr="00281337">
        <w:t xml:space="preserve">La encuesta se realiza (de forma personal o telefónica) a </w:t>
      </w:r>
      <w:r w:rsidRPr="000F30CC">
        <w:rPr>
          <w:b/>
        </w:rPr>
        <w:t>65.000</w:t>
      </w:r>
      <w:r w:rsidR="008F1202">
        <w:rPr>
          <w:b/>
        </w:rPr>
        <w:t> </w:t>
      </w:r>
      <w:r w:rsidRPr="000F30CC">
        <w:rPr>
          <w:b/>
        </w:rPr>
        <w:t>familias</w:t>
      </w:r>
      <w:r w:rsidRPr="00281337">
        <w:t xml:space="preserve"> (es decir, unas </w:t>
      </w:r>
      <w:r w:rsidRPr="005D68CF">
        <w:rPr>
          <w:b/>
        </w:rPr>
        <w:t>200.000</w:t>
      </w:r>
      <w:r w:rsidR="008F1202">
        <w:rPr>
          <w:b/>
        </w:rPr>
        <w:t> </w:t>
      </w:r>
      <w:r w:rsidRPr="005D68CF">
        <w:rPr>
          <w:b/>
        </w:rPr>
        <w:t>personas</w:t>
      </w:r>
      <w:r w:rsidRPr="00281337">
        <w:t xml:space="preserve">) y los resultados se obtienen con un </w:t>
      </w:r>
      <w:r w:rsidRPr="000F30CC">
        <w:rPr>
          <w:b/>
        </w:rPr>
        <w:t>mes y medio de retraso</w:t>
      </w:r>
      <w:r w:rsidRPr="00281337">
        <w:t>.</w:t>
      </w:r>
    </w:p>
    <w:p w14:paraId="7A7AD7CD" w14:textId="77777777" w:rsidR="00813EF0" w:rsidRPr="00281337" w:rsidRDefault="00813EF0" w:rsidP="00DD4642">
      <w:pPr>
        <w:pStyle w:val="Nivel3SM"/>
      </w:pPr>
      <w:r w:rsidRPr="00281337">
        <w:t xml:space="preserve">La </w:t>
      </w:r>
      <w:r w:rsidRPr="000F30CC">
        <w:rPr>
          <w:b/>
        </w:rPr>
        <w:t>muestra es rotatoria</w:t>
      </w:r>
      <w:r w:rsidRPr="00281337">
        <w:t xml:space="preserve"> (cada trimestre se renueva una sexta parte).</w:t>
      </w:r>
    </w:p>
    <w:p w14:paraId="39CBB983" w14:textId="65E71C14" w:rsidR="00813EF0" w:rsidRPr="00281337" w:rsidRDefault="00D213E1" w:rsidP="00DD4642">
      <w:pPr>
        <w:pStyle w:val="Nivel3SM"/>
      </w:pPr>
      <w:r w:rsidRPr="00281337">
        <w:t>Se ha llevado</w:t>
      </w:r>
      <w:r w:rsidR="00FF5C48">
        <w:t xml:space="preserve"> a cabo</w:t>
      </w:r>
      <w:r w:rsidRPr="00281337">
        <w:t xml:space="preserve"> un importante </w:t>
      </w:r>
      <w:r w:rsidRPr="001B2E10">
        <w:rPr>
          <w:b/>
        </w:rPr>
        <w:t>esfuerzo armonizador</w:t>
      </w:r>
      <w:r w:rsidRPr="00281337">
        <w:t xml:space="preserve"> desde la entrada de España en la UE.</w:t>
      </w:r>
    </w:p>
    <w:p w14:paraId="5798A56A" w14:textId="77777777" w:rsidR="00813EF0" w:rsidRPr="00281337" w:rsidRDefault="00813EF0" w:rsidP="00DD4642">
      <w:pPr>
        <w:pStyle w:val="Nivel2SM"/>
        <w:keepNext/>
        <w:spacing w:after="0"/>
      </w:pPr>
      <w:r w:rsidRPr="00DD4642">
        <w:rPr>
          <w:u w:val="single"/>
        </w:rPr>
        <w:lastRenderedPageBreak/>
        <w:t>Definiciones</w:t>
      </w:r>
      <w:r w:rsidRPr="00281337">
        <w:t>:</w:t>
      </w:r>
    </w:p>
    <w:p w14:paraId="160EB0A6" w14:textId="4A36DF8E" w:rsidR="00813EF0" w:rsidRPr="00281337" w:rsidRDefault="00813EF0" w:rsidP="00DD4642">
      <w:pPr>
        <w:pStyle w:val="Nivel3SM"/>
        <w:keepNext/>
      </w:pPr>
      <w:r w:rsidRPr="00281337">
        <w:t>Ocupados:</w:t>
      </w:r>
    </w:p>
    <w:p w14:paraId="4C9B7B50" w14:textId="0AF3E8CE" w:rsidR="00813EF0" w:rsidRPr="00281337" w:rsidRDefault="00813EF0" w:rsidP="00DD4642">
      <w:pPr>
        <w:pStyle w:val="Nivel4"/>
        <w:ind w:left="1474"/>
      </w:pPr>
      <w:r w:rsidRPr="00281337">
        <w:t xml:space="preserve">Personas de </w:t>
      </w:r>
      <w:r w:rsidRPr="005D68CF">
        <w:rPr>
          <w:b/>
        </w:rPr>
        <w:t>16</w:t>
      </w:r>
      <w:r w:rsidR="00824B08">
        <w:rPr>
          <w:b/>
        </w:rPr>
        <w:t> </w:t>
      </w:r>
      <w:r w:rsidRPr="005D68CF">
        <w:rPr>
          <w:b/>
        </w:rPr>
        <w:t>años o más</w:t>
      </w:r>
      <w:r w:rsidRPr="00281337">
        <w:t xml:space="preserve"> que durante la </w:t>
      </w:r>
      <w:r w:rsidRPr="005D68CF">
        <w:rPr>
          <w:b/>
        </w:rPr>
        <w:t>semana de referencia</w:t>
      </w:r>
      <w:r w:rsidRPr="00281337">
        <w:t xml:space="preserve"> (la anterior a la entrevista) </w:t>
      </w:r>
      <w:r w:rsidRPr="005D68CF">
        <w:rPr>
          <w:b/>
        </w:rPr>
        <w:t>han trabajado al menos una hora</w:t>
      </w:r>
      <w:r w:rsidRPr="00281337">
        <w:t xml:space="preserve"> </w:t>
      </w:r>
      <w:r w:rsidRPr="005D68CF">
        <w:t>a</w:t>
      </w:r>
      <w:r w:rsidRPr="00281337">
        <w:t xml:space="preserve"> cambio de una </w:t>
      </w:r>
      <w:r w:rsidRPr="005D68CF">
        <w:rPr>
          <w:b/>
        </w:rPr>
        <w:t>retribución en dinero o en especie</w:t>
      </w:r>
      <w:r w:rsidRPr="00281337">
        <w:t xml:space="preserve"> (incluye también los que no trabajaron por enfermedad, vacaciones…).</w:t>
      </w:r>
    </w:p>
    <w:p w14:paraId="03D68FF2" w14:textId="7479F112" w:rsidR="00813EF0" w:rsidRPr="00281337" w:rsidRDefault="00813EF0" w:rsidP="00DD4642">
      <w:pPr>
        <w:pStyle w:val="Nivel4"/>
        <w:ind w:left="1474"/>
      </w:pPr>
      <w:r w:rsidRPr="00281337">
        <w:t>Se clasifican por sexo, edad, sector, contrato temporal o permanente, trabajo por cuenta propia o ajena…</w:t>
      </w:r>
    </w:p>
    <w:p w14:paraId="595CEF42" w14:textId="49044306" w:rsidR="00813EF0" w:rsidRPr="00281337" w:rsidRDefault="00813EF0" w:rsidP="00DD4642">
      <w:pPr>
        <w:pStyle w:val="Nivel3SM"/>
        <w:keepNext/>
      </w:pPr>
      <w:r w:rsidRPr="00281337">
        <w:t>Parados:</w:t>
      </w:r>
    </w:p>
    <w:p w14:paraId="5D53A798" w14:textId="7F564642" w:rsidR="00813EF0" w:rsidRPr="00281337" w:rsidRDefault="00813EF0" w:rsidP="00DD4642">
      <w:pPr>
        <w:pStyle w:val="Nivel4"/>
        <w:ind w:left="1474"/>
      </w:pPr>
      <w:r w:rsidRPr="00281337">
        <w:t>Personas de 16</w:t>
      </w:r>
      <w:r w:rsidR="00135D04">
        <w:t> </w:t>
      </w:r>
      <w:r w:rsidRPr="00281337">
        <w:t xml:space="preserve">años o más que durante la semana de referencia han estado sin trabajo, disponibles para trabajar y </w:t>
      </w:r>
      <w:r w:rsidRPr="005D68CF">
        <w:rPr>
          <w:b/>
        </w:rPr>
        <w:t>buscando activamente empleo</w:t>
      </w:r>
      <w:r w:rsidRPr="00281337">
        <w:t>.</w:t>
      </w:r>
    </w:p>
    <w:p w14:paraId="6D514C48" w14:textId="438C2A93" w:rsidR="00813EF0" w:rsidRPr="00281337" w:rsidRDefault="00813EF0" w:rsidP="00DD4642">
      <w:pPr>
        <w:pStyle w:val="Nivel3SM"/>
        <w:keepNext/>
      </w:pPr>
      <w:r w:rsidRPr="00281337">
        <w:t>Activos:</w:t>
      </w:r>
    </w:p>
    <w:p w14:paraId="62E84CBB" w14:textId="77777777" w:rsidR="00813EF0" w:rsidRPr="00281337" w:rsidRDefault="00813EF0" w:rsidP="00DD4642">
      <w:pPr>
        <w:pStyle w:val="Nivel4"/>
        <w:ind w:left="1474"/>
      </w:pPr>
      <w:r w:rsidRPr="00281337">
        <w:t>Suma de ocupados y parados.</w:t>
      </w:r>
    </w:p>
    <w:p w14:paraId="04D49567" w14:textId="2BD25BC5" w:rsidR="00813EF0" w:rsidRPr="00281337" w:rsidRDefault="00813EF0" w:rsidP="00DD4642">
      <w:pPr>
        <w:pStyle w:val="Nivel3SM"/>
        <w:keepNext/>
      </w:pPr>
      <w:r w:rsidRPr="00281337">
        <w:t>Inactivos:</w:t>
      </w:r>
    </w:p>
    <w:p w14:paraId="08D65FF2" w14:textId="5CB5F9BB" w:rsidR="00813EF0" w:rsidRPr="00281337" w:rsidRDefault="00813EF0" w:rsidP="00DD4642">
      <w:pPr>
        <w:pStyle w:val="Nivel4"/>
        <w:ind w:left="1474"/>
      </w:pPr>
      <w:r w:rsidRPr="00281337">
        <w:t>Población de 16 o más años que no entre en ninguna de las categorías anteriores.</w:t>
      </w:r>
    </w:p>
    <w:p w14:paraId="232B7BD1" w14:textId="77777777" w:rsidR="00813EF0" w:rsidRPr="00281337" w:rsidRDefault="00813EF0" w:rsidP="00DD4642">
      <w:pPr>
        <w:pStyle w:val="Nivel2SM"/>
        <w:keepNext/>
        <w:spacing w:after="0"/>
      </w:pPr>
      <w:r w:rsidRPr="00DD4642">
        <w:rPr>
          <w:u w:val="single"/>
        </w:rPr>
        <w:t>Algunos índices de interés</w:t>
      </w:r>
      <w:r w:rsidRPr="00281337">
        <w:t>:</w:t>
      </w:r>
    </w:p>
    <w:p w14:paraId="5639BD8B" w14:textId="77777777" w:rsidR="00813EF0" w:rsidRPr="00281337" w:rsidRDefault="00813EF0" w:rsidP="00DD4642">
      <w:pPr>
        <w:pStyle w:val="Nivel3SM"/>
      </w:pPr>
      <w:r w:rsidRPr="00281337">
        <w:t>Tasa de desempleo: Parados / Población activa.</w:t>
      </w:r>
    </w:p>
    <w:p w14:paraId="00295551" w14:textId="77777777" w:rsidR="00813EF0" w:rsidRPr="00281337" w:rsidRDefault="00813EF0" w:rsidP="00DD4642">
      <w:pPr>
        <w:pStyle w:val="Nivel3SM"/>
      </w:pPr>
      <w:r w:rsidRPr="00281337">
        <w:t>Tasa de asalariados: Asalariados / Ocupados.</w:t>
      </w:r>
    </w:p>
    <w:p w14:paraId="3181725A" w14:textId="73CC14C8" w:rsidR="00813EF0" w:rsidRPr="00281337" w:rsidRDefault="00813EF0" w:rsidP="00DD4642">
      <w:pPr>
        <w:pStyle w:val="Nivel3SM"/>
      </w:pPr>
      <w:r w:rsidRPr="00281337">
        <w:t>Tasa de temporalidad: Asalariados con contrato temporal / Asalariados.</w:t>
      </w:r>
    </w:p>
    <w:p w14:paraId="4E0CB931" w14:textId="7746251A" w:rsidR="00813EF0" w:rsidRPr="00281337" w:rsidRDefault="00813EF0" w:rsidP="002C5BC1">
      <w:pPr>
        <w:pStyle w:val="Nivel2SM"/>
        <w:keepNext/>
        <w:spacing w:after="0"/>
      </w:pPr>
      <w:r w:rsidRPr="00DD4642">
        <w:rPr>
          <w:u w:val="single"/>
        </w:rPr>
        <w:t>Limitaciones</w:t>
      </w:r>
      <w:r w:rsidRPr="00281337">
        <w:t>:</w:t>
      </w:r>
    </w:p>
    <w:p w14:paraId="5F3A7185" w14:textId="77777777" w:rsidR="0004567C" w:rsidRDefault="00BD0D60" w:rsidP="00DD4642">
      <w:pPr>
        <w:pStyle w:val="Nivel3SM"/>
      </w:pPr>
      <w:r w:rsidRPr="00833D86">
        <w:rPr>
          <w:highlight w:val="yellow"/>
        </w:rPr>
        <w:t>No considera la economía sumergida</w:t>
      </w:r>
      <w:r w:rsidR="004D5360" w:rsidRPr="00281337">
        <w:t>,</w:t>
      </w:r>
      <w:r w:rsidRPr="00281337">
        <w:t xml:space="preserve"> lo cual t</w:t>
      </w:r>
      <w:r w:rsidR="00813EF0" w:rsidRPr="00281337">
        <w:t xml:space="preserve">iende a </w:t>
      </w:r>
      <w:r w:rsidR="00813EF0" w:rsidRPr="000F30CC">
        <w:rPr>
          <w:highlight w:val="yellow"/>
          <w:u w:val="single"/>
        </w:rPr>
        <w:t>sobreestimar</w:t>
      </w:r>
      <w:r w:rsidR="00813EF0" w:rsidRPr="000F30CC">
        <w:rPr>
          <w:highlight w:val="yellow"/>
        </w:rPr>
        <w:t xml:space="preserve"> la tasa de desempleo</w:t>
      </w:r>
      <w:r w:rsidR="004D5360" w:rsidRPr="00281337">
        <w:t>.</w:t>
      </w:r>
    </w:p>
    <w:p w14:paraId="243F5428" w14:textId="7807C0E2" w:rsidR="00813EF0" w:rsidRPr="00281337" w:rsidRDefault="004D5360" w:rsidP="0004567C">
      <w:pPr>
        <w:pStyle w:val="Nivel4"/>
        <w:ind w:left="1474"/>
      </w:pPr>
      <w:r w:rsidRPr="00281337">
        <w:t xml:space="preserve">La sobreestimación procede de la </w:t>
      </w:r>
      <w:r w:rsidRPr="00077B1B">
        <w:rPr>
          <w:b/>
        </w:rPr>
        <w:t>infraestimación de los ocupados</w:t>
      </w:r>
      <w:r w:rsidRPr="00281337">
        <w:t xml:space="preserve"> y por ende de la población activa</w:t>
      </w:r>
      <w:r w:rsidR="0004567C">
        <w:t xml:space="preserve"> (sin embargo, </w:t>
      </w:r>
      <w:r w:rsidR="0004567C" w:rsidRPr="00281337">
        <w:t>no sobreestima el número de desempleados</w:t>
      </w:r>
      <w:r w:rsidR="0004567C">
        <w:t>)</w:t>
      </w:r>
      <w:r w:rsidRPr="00281337">
        <w:t xml:space="preserve"> lo que provoca que el denominador sea menor haciendo que la tasa de desempleo sea sobreestimada.</w:t>
      </w:r>
    </w:p>
    <w:p w14:paraId="1E422B63" w14:textId="1B829272" w:rsidR="00813EF0" w:rsidRPr="00281337" w:rsidRDefault="00BD0D60" w:rsidP="004B6666">
      <w:pPr>
        <w:pStyle w:val="Ttulo6"/>
      </w:pPr>
      <w:bookmarkStart w:id="58" w:name="_Toc177739160"/>
      <w:r w:rsidRPr="00281337">
        <w:t>Paro registrado en el Servicio Público de Empleo Estatal</w:t>
      </w:r>
      <w:r w:rsidR="00216A54">
        <w:t xml:space="preserve"> (SEPE)</w:t>
      </w:r>
      <w:bookmarkEnd w:id="58"/>
    </w:p>
    <w:p w14:paraId="6B873301" w14:textId="32158FDD" w:rsidR="004D5360" w:rsidRPr="00281337" w:rsidRDefault="004D5360" w:rsidP="00875D57">
      <w:pPr>
        <w:pStyle w:val="Nivel2SM"/>
        <w:keepNext/>
        <w:spacing w:after="0"/>
      </w:pPr>
      <w:r w:rsidRPr="00875D57">
        <w:rPr>
          <w:u w:val="single"/>
        </w:rPr>
        <w:t>Definición</w:t>
      </w:r>
      <w:r w:rsidRPr="00281337">
        <w:t>:</w:t>
      </w:r>
    </w:p>
    <w:p w14:paraId="29E60D42" w14:textId="5AA4071D" w:rsidR="004D5360" w:rsidRPr="00281337" w:rsidRDefault="004D5360" w:rsidP="00875D57">
      <w:pPr>
        <w:pStyle w:val="Nivel3SM"/>
      </w:pPr>
      <w:r w:rsidRPr="00281337">
        <w:t>Recoge el paro registrado en el SE</w:t>
      </w:r>
      <w:r w:rsidR="00216A54">
        <w:t>P</w:t>
      </w:r>
      <w:r w:rsidRPr="00281337">
        <w:t>E.</w:t>
      </w:r>
    </w:p>
    <w:p w14:paraId="79975A44" w14:textId="77777777" w:rsidR="004D5360" w:rsidRPr="00875D57" w:rsidRDefault="004D5360" w:rsidP="00875D57">
      <w:pPr>
        <w:pStyle w:val="Nivel2SM"/>
        <w:keepNext/>
        <w:spacing w:after="0"/>
        <w:rPr>
          <w:u w:val="single"/>
        </w:rPr>
      </w:pPr>
      <w:r w:rsidRPr="00875D57">
        <w:rPr>
          <w:u w:val="single"/>
        </w:rPr>
        <w:t>Inconveniente</w:t>
      </w:r>
      <w:r w:rsidRPr="00875D57">
        <w:t>:</w:t>
      </w:r>
    </w:p>
    <w:p w14:paraId="3E6ED2DF" w14:textId="2225D0CC" w:rsidR="00D213E1" w:rsidRPr="00281337" w:rsidRDefault="004D5360" w:rsidP="00875D57">
      <w:pPr>
        <w:pStyle w:val="Nivel3SM"/>
      </w:pPr>
      <w:r w:rsidRPr="00281337">
        <w:t xml:space="preserve">Tiende a </w:t>
      </w:r>
      <w:r w:rsidRPr="000F30CC">
        <w:rPr>
          <w:highlight w:val="yellow"/>
          <w:u w:val="single"/>
        </w:rPr>
        <w:t>subestimar el paro</w:t>
      </w:r>
      <w:r w:rsidRPr="00281337">
        <w:t xml:space="preserve"> </w:t>
      </w:r>
      <w:r w:rsidR="00D213E1" w:rsidRPr="00281337">
        <w:t>en comparación con la EPA.</w:t>
      </w:r>
    </w:p>
    <w:p w14:paraId="3C9C8BB4" w14:textId="77777777" w:rsidR="004D5360" w:rsidRPr="00281337" w:rsidRDefault="00D213E1" w:rsidP="00875D57">
      <w:pPr>
        <w:pStyle w:val="Nivel3SM"/>
        <w:keepNext/>
      </w:pPr>
      <w:r w:rsidRPr="00281337">
        <w:t xml:space="preserve">Razón: </w:t>
      </w:r>
      <w:r w:rsidR="004D5360" w:rsidRPr="00281337">
        <w:t xml:space="preserve">Para ser considerado parado según esta estadística hay que </w:t>
      </w:r>
      <w:r w:rsidR="004D5360" w:rsidRPr="005D68CF">
        <w:rPr>
          <w:b/>
        </w:rPr>
        <w:t xml:space="preserve">registrarse en las oficinas de empleo y </w:t>
      </w:r>
      <w:r w:rsidR="004D5360" w:rsidRPr="005D68CF">
        <w:rPr>
          <w:b/>
          <w:u w:val="single"/>
        </w:rPr>
        <w:t>cumplir ciertos requisitos</w:t>
      </w:r>
      <w:r w:rsidR="004D5360" w:rsidRPr="00281337">
        <w:t>. Así, perfiles que no se consideran parados incluyen</w:t>
      </w:r>
      <w:r w:rsidRPr="00281337">
        <w:t xml:space="preserve"> por ejemplo</w:t>
      </w:r>
      <w:r w:rsidR="004D5360" w:rsidRPr="00281337">
        <w:t>:</w:t>
      </w:r>
    </w:p>
    <w:p w14:paraId="5CA8584C" w14:textId="4680FDDE" w:rsidR="004D5360" w:rsidRPr="00281337" w:rsidRDefault="004D5360" w:rsidP="00875D57">
      <w:pPr>
        <w:pStyle w:val="Nivel4"/>
        <w:ind w:left="1474"/>
      </w:pPr>
      <w:r w:rsidRPr="00281337">
        <w:t xml:space="preserve">Personas desempleadas que buscan empleo pero </w:t>
      </w:r>
      <w:r w:rsidRPr="00335C7B">
        <w:rPr>
          <w:b/>
        </w:rPr>
        <w:t>no están apuntadas</w:t>
      </w:r>
      <w:r w:rsidRPr="00281337">
        <w:t xml:space="preserve"> a las oficinas de empleo</w:t>
      </w:r>
      <w:r w:rsidR="00446BBB">
        <w:t xml:space="preserve"> (p.ej. por la falta de incentivos)</w:t>
      </w:r>
      <w:r w:rsidRPr="00281337">
        <w:t>.</w:t>
      </w:r>
    </w:p>
    <w:p w14:paraId="3FFF2D58" w14:textId="06E2FF35" w:rsidR="00813EF0" w:rsidRPr="00281337" w:rsidRDefault="004D5360" w:rsidP="00C516DE">
      <w:pPr>
        <w:pStyle w:val="Nivel4"/>
        <w:ind w:left="1474"/>
      </w:pPr>
      <w:r w:rsidRPr="00281337">
        <w:t xml:space="preserve">Las personas apuntadas a </w:t>
      </w:r>
      <w:r w:rsidRPr="00833D86">
        <w:rPr>
          <w:highlight w:val="yellow"/>
        </w:rPr>
        <w:t>cursos de formación del S</w:t>
      </w:r>
      <w:r w:rsidR="00C516DE">
        <w:rPr>
          <w:highlight w:val="yellow"/>
        </w:rPr>
        <w:t>E</w:t>
      </w:r>
      <w:r w:rsidRPr="00833D86">
        <w:rPr>
          <w:highlight w:val="yellow"/>
        </w:rPr>
        <w:t>P</w:t>
      </w:r>
      <w:r w:rsidRPr="00C516DE">
        <w:rPr>
          <w:highlight w:val="yellow"/>
        </w:rPr>
        <w:t>E</w:t>
      </w:r>
      <w:r w:rsidRPr="00281337">
        <w:t>.</w:t>
      </w:r>
    </w:p>
    <w:p w14:paraId="3B7B4F2D" w14:textId="77777777" w:rsidR="00813EF0" w:rsidRPr="00281337" w:rsidRDefault="00FF5C48" w:rsidP="00875D57">
      <w:pPr>
        <w:pStyle w:val="Nivel2SM"/>
        <w:keepNext/>
        <w:spacing w:after="0"/>
      </w:pPr>
      <w:r w:rsidRPr="00875D57">
        <w:rPr>
          <w:u w:val="single"/>
        </w:rPr>
        <w:t>Debate</w:t>
      </w:r>
      <w:r>
        <w:t>:</w:t>
      </w:r>
    </w:p>
    <w:p w14:paraId="0908950D" w14:textId="4A6E663E" w:rsidR="00813EF0" w:rsidRPr="00281337" w:rsidRDefault="00813EF0" w:rsidP="00BB3933">
      <w:pPr>
        <w:pStyle w:val="Nivel3SM"/>
      </w:pPr>
      <w:r w:rsidRPr="00281337">
        <w:t>Puede existir debate respecto a qu</w:t>
      </w:r>
      <w:r w:rsidR="005F7232">
        <w:t>é</w:t>
      </w:r>
      <w:r w:rsidRPr="00281337">
        <w:t xml:space="preserve"> estadística es preferible, pero parece más razonable confiar en la EPA, ya que, además de estar armonizada a nivel internacional, es una estadística destinada específicamente al propósito de medir dichas variables (el resto son estadísticas de registros administrativos).</w:t>
      </w:r>
    </w:p>
    <w:p w14:paraId="3594D805" w14:textId="7C75DE9A" w:rsidR="00813EF0" w:rsidRPr="00281337" w:rsidRDefault="00813EF0" w:rsidP="004B6666">
      <w:pPr>
        <w:pStyle w:val="Ttulo6"/>
      </w:pPr>
      <w:bookmarkStart w:id="59" w:name="_Toc177739161"/>
      <w:r w:rsidRPr="00281337">
        <w:t>Afiliación a la Seguridad Social</w:t>
      </w:r>
      <w:bookmarkEnd w:id="59"/>
    </w:p>
    <w:p w14:paraId="2A2FF928" w14:textId="77777777" w:rsidR="00813EF0" w:rsidRPr="00281337" w:rsidRDefault="00813EF0" w:rsidP="00BB3933">
      <w:pPr>
        <w:pStyle w:val="Nivel2SM"/>
        <w:keepNext/>
        <w:spacing w:after="0"/>
      </w:pPr>
      <w:r w:rsidRPr="00BB3933">
        <w:rPr>
          <w:u w:val="single"/>
        </w:rPr>
        <w:t>Características generales</w:t>
      </w:r>
      <w:r w:rsidRPr="00281337">
        <w:t>:</w:t>
      </w:r>
    </w:p>
    <w:p w14:paraId="0D7635FF" w14:textId="77777777" w:rsidR="00813EF0" w:rsidRPr="00281337" w:rsidRDefault="00813EF0" w:rsidP="00BB3933">
      <w:pPr>
        <w:pStyle w:val="Nivel3SM"/>
      </w:pPr>
      <w:r w:rsidRPr="00281337">
        <w:t xml:space="preserve">Ofrece </w:t>
      </w:r>
      <w:r w:rsidRPr="005D68CF">
        <w:rPr>
          <w:b/>
        </w:rPr>
        <w:t>información sobre la ocupación</w:t>
      </w:r>
      <w:r w:rsidRPr="00281337">
        <w:t xml:space="preserve"> (</w:t>
      </w:r>
      <w:proofErr w:type="spellStart"/>
      <w:r w:rsidRPr="005D68CF">
        <w:rPr>
          <w:b/>
        </w:rPr>
        <w:t>nº</w:t>
      </w:r>
      <w:proofErr w:type="spellEnd"/>
      <w:r w:rsidRPr="005D68CF">
        <w:rPr>
          <w:b/>
        </w:rPr>
        <w:t xml:space="preserve"> de trabajadores dados de alta</w:t>
      </w:r>
      <w:r w:rsidRPr="00281337">
        <w:t xml:space="preserve"> en la Seguridad Social que realizan una actividad laboral).</w:t>
      </w:r>
    </w:p>
    <w:p w14:paraId="6DE66193" w14:textId="2F698D76" w:rsidR="00813EF0" w:rsidRPr="00281337" w:rsidRDefault="00813EF0" w:rsidP="00BB3933">
      <w:pPr>
        <w:pStyle w:val="Nivel3SM"/>
      </w:pPr>
      <w:r w:rsidRPr="00281337">
        <w:t xml:space="preserve">Elaborada por el Ministerio de </w:t>
      </w:r>
      <w:r w:rsidR="00C87E40">
        <w:t>Inclusión, Seguridad</w:t>
      </w:r>
      <w:r w:rsidRPr="00281337">
        <w:t xml:space="preserve"> Social </w:t>
      </w:r>
      <w:r w:rsidR="00C87E40">
        <w:t xml:space="preserve">y Migraciones </w:t>
      </w:r>
      <w:r w:rsidRPr="00281337">
        <w:rPr>
          <w:u w:val="single"/>
        </w:rPr>
        <w:t>mensualmente</w:t>
      </w:r>
      <w:r w:rsidRPr="00281337">
        <w:t>.</w:t>
      </w:r>
    </w:p>
    <w:p w14:paraId="3A3A3731" w14:textId="77777777" w:rsidR="00813EF0" w:rsidRPr="00281337" w:rsidRDefault="005D68CF" w:rsidP="00BB3933">
      <w:pPr>
        <w:pStyle w:val="Nivel2SM"/>
        <w:keepNext/>
        <w:spacing w:after="0"/>
      </w:pPr>
      <w:r w:rsidRPr="00BB3933">
        <w:rPr>
          <w:u w:val="single"/>
        </w:rPr>
        <w:lastRenderedPageBreak/>
        <w:t>Limitación</w:t>
      </w:r>
      <w:r>
        <w:t xml:space="preserve">: </w:t>
      </w:r>
      <w:r w:rsidR="00FF5C48" w:rsidRPr="005D68CF">
        <w:rPr>
          <w:highlight w:val="yellow"/>
        </w:rPr>
        <w:t xml:space="preserve">Subestimación del </w:t>
      </w:r>
      <w:r w:rsidR="00FF5C48" w:rsidRPr="005D68CF">
        <w:rPr>
          <w:b/>
          <w:highlight w:val="yellow"/>
        </w:rPr>
        <w:t>empleo</w:t>
      </w:r>
    </w:p>
    <w:p w14:paraId="66643721" w14:textId="77777777" w:rsidR="00813EF0" w:rsidRPr="00281337" w:rsidRDefault="00813EF0" w:rsidP="00BB3933">
      <w:pPr>
        <w:pStyle w:val="Nivel3SM"/>
      </w:pPr>
      <w:r w:rsidRPr="00281337">
        <w:t xml:space="preserve">Hay trabajadores que tienen la </w:t>
      </w:r>
      <w:r w:rsidRPr="005D68CF">
        <w:rPr>
          <w:highlight w:val="yellow"/>
        </w:rPr>
        <w:t>obligación de estar afiliados pero no lo están</w:t>
      </w:r>
      <w:r w:rsidRPr="00281337">
        <w:t xml:space="preserve"> (están en situación irregular), pero </w:t>
      </w:r>
      <w:r w:rsidR="004D5360" w:rsidRPr="00281337">
        <w:t>aun</w:t>
      </w:r>
      <w:r w:rsidRPr="00281337">
        <w:t xml:space="preserve"> así podrían aparecer como ocupados en la EPA.</w:t>
      </w:r>
    </w:p>
    <w:p w14:paraId="004E9656" w14:textId="5F98DAB3" w:rsidR="00813EF0" w:rsidRPr="00281337" w:rsidRDefault="00813EF0" w:rsidP="00BB3933">
      <w:pPr>
        <w:pStyle w:val="Nivel3SM"/>
      </w:pPr>
      <w:r w:rsidRPr="00281337">
        <w:t>Los datos de afiliación a la Seguridad Social no incluyen a los funcionarios afiliados a sus propias mutualidades (</w:t>
      </w:r>
      <w:r w:rsidR="00BB3933">
        <w:t>p.</w:t>
      </w:r>
      <w:r w:rsidRPr="00281337">
        <w:t>ej</w:t>
      </w:r>
      <w:r w:rsidR="00BB3933">
        <w:t>.</w:t>
      </w:r>
      <w:r w:rsidRPr="00281337">
        <w:t xml:space="preserve"> MUFACE).</w:t>
      </w:r>
    </w:p>
    <w:p w14:paraId="6C88843F" w14:textId="22F3C268" w:rsidR="00813EF0" w:rsidRPr="00833D86" w:rsidRDefault="00813EF0" w:rsidP="004B6666">
      <w:pPr>
        <w:pStyle w:val="Ttulo6"/>
        <w:rPr>
          <w:highlight w:val="yellow"/>
        </w:rPr>
      </w:pPr>
      <w:bookmarkStart w:id="60" w:name="_Toc177739162"/>
      <w:r w:rsidRPr="00833D86">
        <w:rPr>
          <w:highlight w:val="yellow"/>
        </w:rPr>
        <w:t>Encuesta de coyuntura laboral</w:t>
      </w:r>
      <w:bookmarkEnd w:id="60"/>
    </w:p>
    <w:p w14:paraId="4295A134" w14:textId="7DD1DC6E" w:rsidR="002F10E1" w:rsidRPr="00BB3933" w:rsidRDefault="00813EF0" w:rsidP="002F10E1">
      <w:pPr>
        <w:pStyle w:val="Nivel2SM"/>
        <w:rPr>
          <w:highlight w:val="yellow"/>
        </w:rPr>
      </w:pPr>
      <w:r w:rsidRPr="00833D86">
        <w:rPr>
          <w:highlight w:val="yellow"/>
        </w:rPr>
        <w:t xml:space="preserve">Encuesta realizada por el Ministerio de Empleo y Seguridad Social </w:t>
      </w:r>
      <w:r w:rsidRPr="00833D86">
        <w:rPr>
          <w:highlight w:val="yellow"/>
          <w:u w:val="single"/>
        </w:rPr>
        <w:t>trimestralmente</w:t>
      </w:r>
      <w:r w:rsidRPr="00833D86">
        <w:rPr>
          <w:highlight w:val="yellow"/>
        </w:rPr>
        <w:t xml:space="preserve"> para proporcionar </w:t>
      </w:r>
      <w:r w:rsidRPr="005D68CF">
        <w:rPr>
          <w:b/>
          <w:highlight w:val="yellow"/>
        </w:rPr>
        <w:t xml:space="preserve">información sobre el mercado de trabajo </w:t>
      </w:r>
      <w:r w:rsidRPr="005D68CF">
        <w:rPr>
          <w:b/>
          <w:highlight w:val="yellow"/>
          <w:u w:val="single"/>
        </w:rPr>
        <w:t>desde el punto de vista de las empresas</w:t>
      </w:r>
      <w:r w:rsidRPr="00833D86">
        <w:rPr>
          <w:highlight w:val="yellow"/>
        </w:rPr>
        <w:t xml:space="preserve"> (</w:t>
      </w:r>
      <w:proofErr w:type="spellStart"/>
      <w:r w:rsidRPr="00833D86">
        <w:rPr>
          <w:highlight w:val="yellow"/>
        </w:rPr>
        <w:t>nº</w:t>
      </w:r>
      <w:proofErr w:type="spellEnd"/>
      <w:r w:rsidRPr="00833D86">
        <w:rPr>
          <w:highlight w:val="yellow"/>
        </w:rPr>
        <w:t xml:space="preserve"> de trabajadores efectivos, horas extraordinarias, tipo de contratos</w:t>
      </w:r>
      <w:r w:rsidR="00747951">
        <w:rPr>
          <w:highlight w:val="yellow"/>
        </w:rPr>
        <w:t>…</w:t>
      </w:r>
      <w:r w:rsidRPr="00833D86">
        <w:rPr>
          <w:highlight w:val="yellow"/>
        </w:rPr>
        <w:t>).</w:t>
      </w:r>
    </w:p>
    <w:p w14:paraId="624FDDF9" w14:textId="18F8FC4D" w:rsidR="002F10E1" w:rsidRPr="00824B08" w:rsidRDefault="002F10E1" w:rsidP="004B6666">
      <w:pPr>
        <w:pStyle w:val="Ttulo6"/>
      </w:pPr>
      <w:bookmarkStart w:id="61" w:name="_Toc177739163"/>
      <w:r w:rsidRPr="00281337">
        <w:t>Encuesta Trimestral de Coste Laboral (ETCL)</w:t>
      </w:r>
      <w:bookmarkEnd w:id="61"/>
    </w:p>
    <w:p w14:paraId="2D037A91" w14:textId="77777777" w:rsidR="002F10E1" w:rsidRPr="00BB3933" w:rsidRDefault="00FF5C48" w:rsidP="00BB3933">
      <w:pPr>
        <w:pStyle w:val="Nivel2SM"/>
        <w:keepNext/>
        <w:spacing w:after="0"/>
        <w:rPr>
          <w:u w:val="single"/>
        </w:rPr>
      </w:pPr>
      <w:r w:rsidRPr="00BB3933">
        <w:rPr>
          <w:u w:val="single"/>
        </w:rPr>
        <w:t>Encuesta</w:t>
      </w:r>
    </w:p>
    <w:p w14:paraId="7981DB33" w14:textId="2F57E7FA" w:rsidR="002F10E1" w:rsidRPr="00281337" w:rsidRDefault="002F10E1" w:rsidP="00BB3933">
      <w:pPr>
        <w:pStyle w:val="Nivel3SM"/>
      </w:pPr>
      <w:r w:rsidRPr="00281337">
        <w:t xml:space="preserve">Analiza las </w:t>
      </w:r>
      <w:r w:rsidRPr="00FF5C48">
        <w:rPr>
          <w:u w:val="single"/>
        </w:rPr>
        <w:t>horas trabajadas y la ganancia media</w:t>
      </w:r>
      <w:r w:rsidRPr="00281337">
        <w:t xml:space="preserve"> por trabajador por sectores de actividad, categoría profesional</w:t>
      </w:r>
      <w:r w:rsidR="00747951">
        <w:t>…</w:t>
      </w:r>
    </w:p>
    <w:p w14:paraId="28F5891A" w14:textId="69DBA1AF" w:rsidR="002F10E1" w:rsidRPr="00281337" w:rsidRDefault="002F10E1" w:rsidP="00BB3933">
      <w:pPr>
        <w:pStyle w:val="Nivel3SM"/>
      </w:pPr>
      <w:r w:rsidRPr="00281337">
        <w:t xml:space="preserve">Es la </w:t>
      </w:r>
      <w:r w:rsidRPr="00FF5C48">
        <w:rPr>
          <w:u w:val="single"/>
        </w:rPr>
        <w:t>fuente fundamental para el cálculo del Índice de Coste Laboral Armonizado</w:t>
      </w:r>
      <w:r w:rsidRPr="00281337">
        <w:t>, que forma parte de los indicadores que Eurostat pide a los países para medir la convergencia en términos de costes laborales.</w:t>
      </w:r>
    </w:p>
    <w:p w14:paraId="6E996D6E" w14:textId="77777777" w:rsidR="002F10E1" w:rsidRPr="00FF5C48" w:rsidRDefault="002F10E1" w:rsidP="00BB3933">
      <w:pPr>
        <w:pStyle w:val="Nivel2SM"/>
        <w:keepNext/>
        <w:spacing w:after="0"/>
      </w:pPr>
      <w:r w:rsidRPr="00BB3933">
        <w:rPr>
          <w:u w:val="single"/>
        </w:rPr>
        <w:t>Índice de Coste Laboral Armonizado (ICLA)</w:t>
      </w:r>
      <w:r w:rsidRPr="00FF5C48">
        <w:t>:</w:t>
      </w:r>
    </w:p>
    <w:p w14:paraId="409A269D" w14:textId="7E5F7099" w:rsidR="002F10E1" w:rsidRPr="00281337" w:rsidRDefault="002F10E1" w:rsidP="00BB3933">
      <w:pPr>
        <w:pStyle w:val="Nivel3SM"/>
      </w:pPr>
      <w:r w:rsidRPr="00281337">
        <w:t>Es un índice Laspeyres del coste laboral por hora trabajada, encadenado anualmente y basado en una estructura fija de la actividad económica.</w:t>
      </w:r>
    </w:p>
    <w:p w14:paraId="3E287FA5" w14:textId="240618FA" w:rsidR="00D213E1" w:rsidRPr="00824B08" w:rsidRDefault="00ED7A0F" w:rsidP="00824B08">
      <w:pPr>
        <w:ind w:left="348"/>
        <w:jc w:val="center"/>
        <w:rPr>
          <w:color w:val="000000"/>
        </w:rPr>
      </w:pPr>
      <w:r>
        <w:rPr>
          <w:noProof/>
          <w:color w:val="000000"/>
        </w:rPr>
        <w:drawing>
          <wp:inline distT="0" distB="0" distL="0" distR="0" wp14:anchorId="7A6B5EF9" wp14:editId="4E23EA97">
            <wp:extent cx="1607820" cy="868680"/>
            <wp:effectExtent l="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07820" cy="868680"/>
                    </a:xfrm>
                    <a:prstGeom prst="rect">
                      <a:avLst/>
                    </a:prstGeom>
                    <a:noFill/>
                    <a:ln>
                      <a:noFill/>
                    </a:ln>
                  </pic:spPr>
                </pic:pic>
              </a:graphicData>
            </a:graphic>
          </wp:inline>
        </w:drawing>
      </w:r>
    </w:p>
    <w:p w14:paraId="32B5A267" w14:textId="226AD13E" w:rsidR="002F10E1" w:rsidRPr="00281337" w:rsidRDefault="00833D86" w:rsidP="00BB3933">
      <w:pPr>
        <w:pStyle w:val="Nivel4"/>
        <w:ind w:left="1474"/>
      </w:pPr>
      <w:r>
        <w:t>Horas y salarios pagados en la industria</w:t>
      </w:r>
      <w:r w:rsidR="00DA2655">
        <w:t> </w:t>
      </w:r>
      <w:r w:rsidRPr="00DA2655">
        <w:rPr>
          <w:i/>
          <w:iCs/>
        </w:rPr>
        <w:t>i</w:t>
      </w:r>
      <w:r>
        <w:t>.</w:t>
      </w:r>
    </w:p>
    <w:p w14:paraId="6ADA35A4" w14:textId="76EA07C5" w:rsidR="00BA7E0C" w:rsidRPr="004B6666" w:rsidRDefault="00281337" w:rsidP="00BB3933">
      <w:pPr>
        <w:pStyle w:val="Nivel3SM"/>
      </w:pPr>
      <w:r w:rsidRPr="00281337">
        <w:t>Sobrevalora el coste al no tener en cuenta el ER dotación que podría llevar a reducir las horas trabajadas y sustituirlas por ocio.</w:t>
      </w:r>
    </w:p>
    <w:p w14:paraId="357B8B7D" w14:textId="0C7E3753" w:rsidR="005D0053" w:rsidRDefault="005D0053" w:rsidP="005D0053">
      <w:pPr>
        <w:pStyle w:val="Ttulo6"/>
      </w:pPr>
      <w:bookmarkStart w:id="62" w:name="_Toc177739164"/>
      <w:r>
        <w:t>Encuesta anual de estructura salarial</w:t>
      </w:r>
      <w:bookmarkEnd w:id="62"/>
    </w:p>
    <w:p w14:paraId="0C732EDA" w14:textId="77777777" w:rsidR="00A61F31" w:rsidRPr="00A61F31" w:rsidRDefault="00A61F31" w:rsidP="00A61F31">
      <w:pPr>
        <w:pStyle w:val="Nivel2SM"/>
      </w:pPr>
    </w:p>
    <w:p w14:paraId="44354C68" w14:textId="77777777" w:rsidR="00010116" w:rsidRPr="00824B08" w:rsidRDefault="00010116" w:rsidP="00010116">
      <w:pPr>
        <w:pStyle w:val="Ttulo3"/>
      </w:pPr>
      <w:bookmarkStart w:id="63" w:name="_Toc177739165"/>
      <w:r w:rsidRPr="00D76995">
        <w:t>Sector monetario y financiero</w:t>
      </w:r>
      <w:bookmarkEnd w:id="63"/>
    </w:p>
    <w:p w14:paraId="4BC11283" w14:textId="77777777" w:rsidR="00010116" w:rsidRPr="00D76995" w:rsidRDefault="00010116" w:rsidP="00010116">
      <w:pPr>
        <w:pStyle w:val="Nivel2SM"/>
        <w:keepNext/>
        <w:spacing w:after="0"/>
      </w:pPr>
      <w:r w:rsidRPr="00D76995">
        <w:t>El volumen de información y estadísticas del sector monetario y financiero es enorme, ya que existen multitud de instituciones públicas y privadas que elaboran sus propias estadísticas.</w:t>
      </w:r>
    </w:p>
    <w:p w14:paraId="48F01889" w14:textId="77777777" w:rsidR="00010116" w:rsidRPr="00D76995" w:rsidRDefault="00010116" w:rsidP="00010116">
      <w:pPr>
        <w:pStyle w:val="Nivel3SM"/>
      </w:pPr>
      <w:r w:rsidRPr="00D76995">
        <w:t xml:space="preserve">Así, elaboran información de este tipo, entre otros, Ministerio de Economía a través de la D.G. del Tesoro; el </w:t>
      </w:r>
      <w:proofErr w:type="spellStart"/>
      <w:r w:rsidRPr="00D76995">
        <w:t>BdE</w:t>
      </w:r>
      <w:proofErr w:type="spellEnd"/>
      <w:r w:rsidRPr="00D76995">
        <w:t>; el BCE; el INE; la CNMV; las Sociedades de Bolsa; las agencias especializadas (Reuters, Bloomberg) y las de rating.</w:t>
      </w:r>
    </w:p>
    <w:p w14:paraId="3DEA1DA8" w14:textId="77777777" w:rsidR="00010116" w:rsidRPr="00D76995" w:rsidRDefault="00010116" w:rsidP="00010116">
      <w:pPr>
        <w:pStyle w:val="Nivel2SM"/>
      </w:pPr>
      <w:r w:rsidRPr="00D76995">
        <w:t>Así, se pueden obtener estadísticas sobre</w:t>
      </w:r>
      <w:r w:rsidRPr="003C12A7">
        <w:t xml:space="preserve"> </w:t>
      </w:r>
      <w:r w:rsidRPr="00D9724B">
        <w:rPr>
          <w:b/>
          <w:bCs/>
          <w:u w:val="single"/>
        </w:rPr>
        <w:t xml:space="preserve">tipos de interés, balances de pérdidas y ganancias de las empresas no financieras, o el nivel de reservas del </w:t>
      </w:r>
      <w:proofErr w:type="spellStart"/>
      <w:r w:rsidRPr="00D9724B">
        <w:rPr>
          <w:b/>
          <w:bCs/>
          <w:u w:val="single"/>
        </w:rPr>
        <w:t>BdE</w:t>
      </w:r>
      <w:proofErr w:type="spellEnd"/>
      <w:r w:rsidRPr="00D76995">
        <w:t>.</w:t>
      </w:r>
    </w:p>
    <w:p w14:paraId="72BCBDB8" w14:textId="2BA4BDBE" w:rsidR="002B7A8E" w:rsidRDefault="002B7A8E" w:rsidP="002B7A8E">
      <w:pPr>
        <w:pStyle w:val="Ttulo3"/>
      </w:pPr>
      <w:bookmarkStart w:id="64" w:name="_Toc177739166"/>
      <w:r w:rsidRPr="00684741">
        <w:t>Estadísticas sobre precios</w:t>
      </w:r>
      <w:r w:rsidR="007F16D0">
        <w:t xml:space="preserve"> y competitividad</w:t>
      </w:r>
      <w:bookmarkEnd w:id="64"/>
    </w:p>
    <w:p w14:paraId="48F58F56" w14:textId="77777777" w:rsidR="00437EE8" w:rsidRDefault="00437EE8" w:rsidP="00437EE8">
      <w:pPr>
        <w:pStyle w:val="Notaalopositor"/>
      </w:pPr>
      <w:r>
        <w:t>Convendría desarrollar esto.</w:t>
      </w:r>
    </w:p>
    <w:p w14:paraId="4DC72E09" w14:textId="77777777" w:rsidR="002B7A8E" w:rsidRPr="00684741" w:rsidRDefault="002B7A8E" w:rsidP="002B7A8E">
      <w:pPr>
        <w:pStyle w:val="Ttulo6"/>
        <w:spacing w:before="0"/>
      </w:pPr>
      <w:bookmarkStart w:id="65" w:name="_Toc177739167"/>
      <w:r w:rsidRPr="00684741">
        <w:t xml:space="preserve">Índice de </w:t>
      </w:r>
      <w:r>
        <w:t>P</w:t>
      </w:r>
      <w:r w:rsidRPr="00684741">
        <w:t xml:space="preserve">recios al </w:t>
      </w:r>
      <w:r>
        <w:t>C</w:t>
      </w:r>
      <w:r w:rsidRPr="00684741">
        <w:t>onsumo (IPC)</w:t>
      </w:r>
      <w:bookmarkEnd w:id="65"/>
    </w:p>
    <w:p w14:paraId="6D3DE236" w14:textId="77777777" w:rsidR="002B7A8E" w:rsidRPr="00D05BA8" w:rsidRDefault="002B7A8E" w:rsidP="002B7A8E">
      <w:pPr>
        <w:pStyle w:val="Nivel2SM"/>
        <w:keepNext/>
        <w:spacing w:after="0"/>
        <w:rPr>
          <w:u w:val="single"/>
        </w:rPr>
      </w:pPr>
      <w:r w:rsidRPr="00D05BA8">
        <w:rPr>
          <w:u w:val="single"/>
        </w:rPr>
        <w:t>Definición</w:t>
      </w:r>
      <w:r>
        <w:t>:</w:t>
      </w:r>
    </w:p>
    <w:p w14:paraId="7A1C34BD" w14:textId="77777777" w:rsidR="002B7A8E" w:rsidRPr="004B6666" w:rsidRDefault="002B7A8E" w:rsidP="002B7A8E">
      <w:pPr>
        <w:pStyle w:val="Nivel3SM"/>
      </w:pPr>
      <w:r w:rsidRPr="00684741">
        <w:t xml:space="preserve">Mide la </w:t>
      </w:r>
      <w:r w:rsidRPr="00D05BA8">
        <w:rPr>
          <w:b/>
        </w:rPr>
        <w:t>evolución del conjunto de precios de los bienes y servicios de una cesta representativa</w:t>
      </w:r>
      <w:r w:rsidRPr="00684741">
        <w:t xml:space="preserve"> que </w:t>
      </w:r>
      <w:r w:rsidRPr="00684741">
        <w:rPr>
          <w:bCs/>
        </w:rPr>
        <w:t xml:space="preserve">consume la </w:t>
      </w:r>
      <w:r w:rsidRPr="00D05BA8">
        <w:rPr>
          <w:b/>
        </w:rPr>
        <w:t>población residente en viviendas familiares en España</w:t>
      </w:r>
      <w:r w:rsidRPr="00684741">
        <w:t>.</w:t>
      </w:r>
    </w:p>
    <w:p w14:paraId="27203212" w14:textId="77777777" w:rsidR="002B7A8E" w:rsidRPr="00D05BA8" w:rsidRDefault="002B7A8E" w:rsidP="002B7A8E">
      <w:pPr>
        <w:pStyle w:val="Nivel2SM"/>
        <w:keepNext/>
        <w:spacing w:after="0"/>
        <w:rPr>
          <w:u w:val="single"/>
        </w:rPr>
      </w:pPr>
      <w:r w:rsidRPr="00D05BA8">
        <w:rPr>
          <w:u w:val="single"/>
        </w:rPr>
        <w:lastRenderedPageBreak/>
        <w:t>Características generales</w:t>
      </w:r>
      <w:r>
        <w:t>:</w:t>
      </w:r>
    </w:p>
    <w:p w14:paraId="192D9650" w14:textId="6A0FFE68" w:rsidR="002B7A8E" w:rsidRPr="00684741" w:rsidRDefault="002B7A8E" w:rsidP="002B7A8E">
      <w:pPr>
        <w:pStyle w:val="Nivel3SM"/>
      </w:pPr>
      <w:r w:rsidRPr="00684741">
        <w:t xml:space="preserve">Tiene una </w:t>
      </w:r>
      <w:r w:rsidRPr="001B2E10">
        <w:rPr>
          <w:b/>
        </w:rPr>
        <w:t>enorme importancia</w:t>
      </w:r>
      <w:r w:rsidRPr="00684741">
        <w:t xml:space="preserve"> por la relevancia del fenómeno que mide y también por su </w:t>
      </w:r>
      <w:r w:rsidRPr="009B014E">
        <w:rPr>
          <w:b/>
        </w:rPr>
        <w:t>incidencia directa</w:t>
      </w:r>
      <w:r w:rsidRPr="00684741">
        <w:t xml:space="preserve"> en la determinación de numerosas variables económicas (negociación salarial, revisión de salarios...).</w:t>
      </w:r>
    </w:p>
    <w:p w14:paraId="04EC3044" w14:textId="77777777" w:rsidR="002B7A8E" w:rsidRPr="00684741" w:rsidRDefault="002B7A8E" w:rsidP="002B7A8E">
      <w:pPr>
        <w:pStyle w:val="Nivel3SM"/>
      </w:pPr>
      <w:r w:rsidRPr="00684741">
        <w:t xml:space="preserve">Se publica </w:t>
      </w:r>
      <w:r w:rsidRPr="001B2E10">
        <w:rPr>
          <w:b/>
          <w:bCs/>
        </w:rPr>
        <w:t>mensualmente</w:t>
      </w:r>
      <w:r w:rsidRPr="00684741">
        <w:rPr>
          <w:iCs/>
        </w:rPr>
        <w:t xml:space="preserve">, y </w:t>
      </w:r>
      <w:r w:rsidRPr="00684741">
        <w:t xml:space="preserve">se calcula para </w:t>
      </w:r>
      <w:r w:rsidRPr="001B2E10">
        <w:rPr>
          <w:b/>
        </w:rPr>
        <w:t>España</w:t>
      </w:r>
      <w:r w:rsidRPr="00684741">
        <w:t>, las 17</w:t>
      </w:r>
      <w:r>
        <w:t> </w:t>
      </w:r>
      <w:r w:rsidRPr="001B2E10">
        <w:rPr>
          <w:b/>
        </w:rPr>
        <w:t>CCAA</w:t>
      </w:r>
      <w:r w:rsidRPr="00684741">
        <w:t>, las 50</w:t>
      </w:r>
      <w:r>
        <w:t> </w:t>
      </w:r>
      <w:r w:rsidRPr="001B2E10">
        <w:rPr>
          <w:b/>
        </w:rPr>
        <w:t>provincias</w:t>
      </w:r>
      <w:r w:rsidRPr="00684741">
        <w:t xml:space="preserve">, </w:t>
      </w:r>
      <w:r w:rsidRPr="001B2E10">
        <w:rPr>
          <w:b/>
        </w:rPr>
        <w:t>Ceuta</w:t>
      </w:r>
      <w:r w:rsidRPr="00684741">
        <w:t xml:space="preserve"> y </w:t>
      </w:r>
      <w:r w:rsidRPr="001B2E10">
        <w:rPr>
          <w:b/>
        </w:rPr>
        <w:t>Melilla</w:t>
      </w:r>
      <w:r w:rsidRPr="00684741">
        <w:t>.</w:t>
      </w:r>
    </w:p>
    <w:p w14:paraId="740452D4" w14:textId="77777777" w:rsidR="002B7A8E" w:rsidRPr="00684741" w:rsidRDefault="002B7A8E" w:rsidP="002B7A8E">
      <w:pPr>
        <w:pStyle w:val="Nivel3SM"/>
      </w:pPr>
      <w:r w:rsidRPr="00684741">
        <w:t xml:space="preserve">La cesta de la compra con la nueva base tiene casi </w:t>
      </w:r>
      <w:r w:rsidRPr="00194D97">
        <w:rPr>
          <w:b/>
        </w:rPr>
        <w:t>500</w:t>
      </w:r>
      <w:r>
        <w:rPr>
          <w:b/>
        </w:rPr>
        <w:t> </w:t>
      </w:r>
      <w:r w:rsidRPr="00194D97">
        <w:rPr>
          <w:b/>
        </w:rPr>
        <w:t>artículos</w:t>
      </w:r>
      <w:r w:rsidRPr="00684741">
        <w:t>.</w:t>
      </w:r>
    </w:p>
    <w:p w14:paraId="64EA7CB5" w14:textId="77777777" w:rsidR="002B7A8E" w:rsidRPr="00D05BA8" w:rsidRDefault="002B7A8E" w:rsidP="002B7A8E">
      <w:pPr>
        <w:pStyle w:val="Nivel2SM"/>
        <w:keepNext/>
        <w:spacing w:after="0"/>
        <w:rPr>
          <w:u w:val="single"/>
        </w:rPr>
      </w:pPr>
      <w:r w:rsidRPr="00D05BA8">
        <w:rPr>
          <w:u w:val="single"/>
        </w:rPr>
        <w:t>Cambios metodológicos</w:t>
      </w:r>
      <w:r>
        <w:t>:</w:t>
      </w:r>
    </w:p>
    <w:p w14:paraId="12BF28F6" w14:textId="77777777" w:rsidR="002B7A8E" w:rsidRPr="00217E31" w:rsidRDefault="002B7A8E" w:rsidP="002B7A8E">
      <w:pPr>
        <w:pStyle w:val="Nivel3SM"/>
        <w:keepNext/>
        <w:rPr>
          <w:i/>
          <w:iCs/>
        </w:rPr>
      </w:pPr>
      <w:r w:rsidRPr="00217E31">
        <w:rPr>
          <w:i/>
          <w:iCs/>
        </w:rPr>
        <w:t>Índice Encadenado</w:t>
      </w:r>
    </w:p>
    <w:p w14:paraId="4A932CD9" w14:textId="77777777" w:rsidR="002B7A8E" w:rsidRPr="00684741" w:rsidRDefault="002B7A8E" w:rsidP="002B7A8E">
      <w:pPr>
        <w:pStyle w:val="Nivel4"/>
        <w:ind w:left="1474"/>
      </w:pPr>
      <w:r w:rsidRPr="00684741">
        <w:t>Hasta 2001</w:t>
      </w:r>
      <w:r>
        <w:t xml:space="preserve">: Sistema basado en una </w:t>
      </w:r>
      <w:r w:rsidRPr="00194D97">
        <w:t>base fija</w:t>
      </w:r>
      <w:r>
        <w:t xml:space="preserve"> actualizada cada </w:t>
      </w:r>
      <w:r w:rsidRPr="00194D97">
        <w:t>8-9</w:t>
      </w:r>
      <w:r>
        <w:t> </w:t>
      </w:r>
      <w:r w:rsidRPr="00194D97">
        <w:t>años</w:t>
      </w:r>
      <w:r>
        <w:t xml:space="preserve"> en línea con la </w:t>
      </w:r>
      <w:r w:rsidRPr="009B014E">
        <w:t>Encuesta Básica de Presupuestos Familiares</w:t>
      </w:r>
      <w:r w:rsidRPr="00684741">
        <w:t>.</w:t>
      </w:r>
    </w:p>
    <w:p w14:paraId="0B2C659D" w14:textId="77777777" w:rsidR="002B7A8E" w:rsidRPr="00217E31" w:rsidRDefault="002B7A8E" w:rsidP="002B7A8E">
      <w:pPr>
        <w:pStyle w:val="Nivel4"/>
        <w:ind w:left="1474"/>
        <w:rPr>
          <w:spacing w:val="-6"/>
        </w:rPr>
      </w:pPr>
      <w:r w:rsidRPr="00217E31">
        <w:rPr>
          <w:spacing w:val="-6"/>
        </w:rPr>
        <w:t xml:space="preserve">Desde 2002: Se adopta una nueva base (2001) y </w:t>
      </w:r>
      <w:r w:rsidRPr="00217E31">
        <w:rPr>
          <w:i/>
          <w:iCs/>
          <w:spacing w:val="-6"/>
        </w:rPr>
        <w:t>las ponderaciones pasan a revisarse anualmente</w:t>
      </w:r>
      <w:r w:rsidRPr="00217E31">
        <w:rPr>
          <w:spacing w:val="-6"/>
        </w:rPr>
        <w:t xml:space="preserve"> al igual que se vio con el </w:t>
      </w:r>
      <w:r w:rsidRPr="00217E31">
        <w:rPr>
          <w:bCs/>
          <w:spacing w:val="-6"/>
        </w:rPr>
        <w:t>PIB encadenado</w:t>
      </w:r>
      <w:r w:rsidRPr="00217E31">
        <w:rPr>
          <w:spacing w:val="-6"/>
        </w:rPr>
        <w:t xml:space="preserve"> (para un cierto nivel de desagregación).</w:t>
      </w:r>
    </w:p>
    <w:p w14:paraId="4142F746" w14:textId="77777777" w:rsidR="002B7A8E" w:rsidRPr="00684741" w:rsidRDefault="002B7A8E" w:rsidP="002B7A8E">
      <w:pPr>
        <w:pStyle w:val="Nivel3SM"/>
        <w:keepNext/>
      </w:pPr>
      <w:r w:rsidRPr="00684741">
        <w:t>Tratamiento de algunos productos estacionales.</w:t>
      </w:r>
    </w:p>
    <w:p w14:paraId="41151DF5" w14:textId="77777777" w:rsidR="002B7A8E" w:rsidRPr="00FF5C48" w:rsidRDefault="002B7A8E" w:rsidP="002B7A8E">
      <w:pPr>
        <w:pStyle w:val="Nivel4"/>
        <w:keepNext/>
        <w:ind w:left="1474"/>
      </w:pPr>
      <w:r w:rsidRPr="00FF5C48">
        <w:t>Productos estacionales</w:t>
      </w:r>
    </w:p>
    <w:p w14:paraId="622B1E90" w14:textId="77777777" w:rsidR="002B7A8E" w:rsidRPr="00684741" w:rsidRDefault="002B7A8E" w:rsidP="002B7A8E">
      <w:pPr>
        <w:pStyle w:val="Nivel5"/>
        <w:ind w:left="1871"/>
      </w:pPr>
      <w:r>
        <w:t>A</w:t>
      </w:r>
      <w:r w:rsidRPr="00684741">
        <w:t>quellos bienes o servicios que dejan de estar disponibles para la venta en determinados periodos a lo largo del año, y esta situación se repite cíclicamente. Los artículos a los que se refiere esta definición son las frutas frescas y las legumbres y hortalizas frescas.</w:t>
      </w:r>
    </w:p>
    <w:p w14:paraId="2B405CFF" w14:textId="77777777" w:rsidR="002B7A8E" w:rsidRPr="00642458" w:rsidRDefault="002B7A8E" w:rsidP="002B7A8E">
      <w:pPr>
        <w:pStyle w:val="Nivel5"/>
        <w:ind w:left="1871"/>
        <w:rPr>
          <w:spacing w:val="-4"/>
        </w:rPr>
      </w:pPr>
      <w:r w:rsidRPr="00642458">
        <w:rPr>
          <w:spacing w:val="-4"/>
        </w:rPr>
        <w:t>Esto hace necesario aplicar métodos que permitan dar continuidad a la serie de precios y calcular los índices en el periodo de tiempo en el que no exista el producto.</w:t>
      </w:r>
    </w:p>
    <w:p w14:paraId="5F3C5E94" w14:textId="77777777" w:rsidR="002B7A8E" w:rsidRPr="00FF5C48" w:rsidRDefault="002B7A8E" w:rsidP="002B7A8E">
      <w:pPr>
        <w:pStyle w:val="Nivel4"/>
        <w:keepNext/>
        <w:ind w:left="1474"/>
      </w:pPr>
      <w:r w:rsidRPr="00FF5C48">
        <w:t>Nuevo tratamiento metodológico</w:t>
      </w:r>
    </w:p>
    <w:p w14:paraId="2A053998" w14:textId="77777777" w:rsidR="002B7A8E" w:rsidRPr="00684741" w:rsidRDefault="002B7A8E" w:rsidP="002B7A8E">
      <w:pPr>
        <w:pStyle w:val="Nivel5"/>
        <w:ind w:left="1871"/>
      </w:pPr>
      <w:r w:rsidRPr="00684741">
        <w:t xml:space="preserve">Para las frutas, verduras y hortalizas frescas que mantienen esquemas de estacionalidad se aplicará una nueva metodología que </w:t>
      </w:r>
      <w:r w:rsidRPr="00FF5C48">
        <w:t>estimará los precios de los artículos que no estén disponibles en el mercado</w:t>
      </w:r>
      <w:r w:rsidRPr="00684741">
        <w:t>.</w:t>
      </w:r>
    </w:p>
    <w:p w14:paraId="257F504A" w14:textId="77777777" w:rsidR="002B7A8E" w:rsidRPr="00684741" w:rsidRDefault="002B7A8E" w:rsidP="002B7A8E">
      <w:pPr>
        <w:pStyle w:val="Nivel2SM"/>
        <w:keepNext/>
        <w:spacing w:after="0"/>
      </w:pPr>
      <w:r w:rsidRPr="00D05BA8">
        <w:rPr>
          <w:u w:val="single"/>
        </w:rPr>
        <w:t>Metodología</w:t>
      </w:r>
      <w:r w:rsidRPr="00684741">
        <w:t>:</w:t>
      </w:r>
    </w:p>
    <w:p w14:paraId="2037F915" w14:textId="65131202" w:rsidR="002B7A8E" w:rsidRPr="00684741" w:rsidRDefault="002B7A8E" w:rsidP="002B7A8E">
      <w:pPr>
        <w:pStyle w:val="Nivel3SM"/>
      </w:pPr>
      <w:r w:rsidRPr="00684741">
        <w:t>Es un índice de Laspeyres encadenado</w:t>
      </w:r>
      <w:r>
        <w:t>:</w:t>
      </w:r>
      <w:r w:rsidRPr="00684741">
        <w:t xml:space="preserve"> </w:t>
      </w:r>
      <w:r w:rsidR="00ED49D9">
        <w:t>l</w:t>
      </w:r>
      <w:r w:rsidRPr="00684741">
        <w:t xml:space="preserve">os precios base </w:t>
      </w:r>
      <w:r>
        <w:t>y las ponderaciones de gasto en cada artículo se utilizan los datos del año anterior.</w:t>
      </w:r>
    </w:p>
    <w:p w14:paraId="1E5B5813" w14:textId="77777777" w:rsidR="002B7A8E" w:rsidRPr="00684741" w:rsidRDefault="002B7A8E" w:rsidP="002B7A8E">
      <w:pPr>
        <w:jc w:val="center"/>
      </w:pPr>
      <w:r w:rsidRPr="00684741">
        <w:rPr>
          <w:noProof/>
        </w:rPr>
        <w:drawing>
          <wp:inline distT="0" distB="0" distL="0" distR="0" wp14:anchorId="2802BE58" wp14:editId="6D8C2CBB">
            <wp:extent cx="2962471" cy="1142504"/>
            <wp:effectExtent l="0" t="0" r="0" b="635"/>
            <wp:docPr id="7"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Texto, Carta&#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04754" cy="1158811"/>
                    </a:xfrm>
                    <a:prstGeom prst="rect">
                      <a:avLst/>
                    </a:prstGeom>
                    <a:noFill/>
                    <a:ln>
                      <a:noFill/>
                    </a:ln>
                  </pic:spPr>
                </pic:pic>
              </a:graphicData>
            </a:graphic>
          </wp:inline>
        </w:drawing>
      </w:r>
    </w:p>
    <w:p w14:paraId="314E8248" w14:textId="77777777" w:rsidR="002B7A8E" w:rsidRPr="00684741" w:rsidRDefault="002B7A8E" w:rsidP="002B7A8E">
      <w:pPr>
        <w:pStyle w:val="Nivel2SM"/>
        <w:keepNext/>
        <w:spacing w:after="0"/>
      </w:pPr>
      <w:r w:rsidRPr="00D05BA8">
        <w:rPr>
          <w:u w:val="single"/>
        </w:rPr>
        <w:t>Limitaciones</w:t>
      </w:r>
      <w:r w:rsidRPr="00684741">
        <w:t>:</w:t>
      </w:r>
    </w:p>
    <w:p w14:paraId="2BE8D288" w14:textId="77777777" w:rsidR="002B7A8E" w:rsidRPr="00684741" w:rsidRDefault="002B7A8E" w:rsidP="002B7A8E">
      <w:pPr>
        <w:pStyle w:val="Nivel3SM"/>
      </w:pPr>
      <w:r w:rsidRPr="00684741">
        <w:t xml:space="preserve">Aunque se consideran muchos artículos, </w:t>
      </w:r>
      <w:r w:rsidRPr="009B014E">
        <w:rPr>
          <w:b/>
        </w:rPr>
        <w:t>no se consideran tantos como hace el deflactor del PIB</w:t>
      </w:r>
      <w:r w:rsidRPr="00684741">
        <w:t xml:space="preserve"> (pero a cambio incluye los precios de productos importados).</w:t>
      </w:r>
    </w:p>
    <w:p w14:paraId="1DE18519" w14:textId="77777777" w:rsidR="002B7A8E" w:rsidRPr="009B014E" w:rsidRDefault="002B7A8E" w:rsidP="002B7A8E">
      <w:pPr>
        <w:pStyle w:val="Nivel3SM"/>
      </w:pPr>
      <w:r w:rsidRPr="009B014E">
        <w:rPr>
          <w:b/>
        </w:rPr>
        <w:t>Sobreestima el coste de la vida</w:t>
      </w:r>
      <w:r>
        <w:t xml:space="preserve"> ante un aumento de precios al variar los agentes el consumo por ES</w:t>
      </w:r>
      <w:r w:rsidRPr="00A942E2">
        <w:rPr>
          <w:rStyle w:val="FootnoteSymbol"/>
          <w:rFonts w:cs="Times New Roman"/>
        </w:rPr>
        <w:footnoteReference w:id="15"/>
      </w:r>
      <w:r>
        <w:t>.</w:t>
      </w:r>
    </w:p>
    <w:p w14:paraId="6FBBD3D1" w14:textId="77777777" w:rsidR="002B7A8E" w:rsidRPr="00684741" w:rsidRDefault="002B7A8E" w:rsidP="002B7A8E">
      <w:pPr>
        <w:pStyle w:val="Nivel3SM"/>
      </w:pPr>
      <w:r w:rsidRPr="009B014E">
        <w:rPr>
          <w:b/>
        </w:rPr>
        <w:lastRenderedPageBreak/>
        <w:t>No incluye precios</w:t>
      </w:r>
      <w:r w:rsidRPr="00684741">
        <w:t xml:space="preserve"> como el de la </w:t>
      </w:r>
      <w:r w:rsidRPr="009B014E">
        <w:rPr>
          <w:b/>
        </w:rPr>
        <w:t>vivienda</w:t>
      </w:r>
      <w:r w:rsidRPr="00684741">
        <w:t xml:space="preserve"> (cuestión controvertida).</w:t>
      </w:r>
    </w:p>
    <w:p w14:paraId="13B9DA8F" w14:textId="77777777" w:rsidR="002B7A8E" w:rsidRPr="00684741" w:rsidRDefault="002B7A8E" w:rsidP="002B7A8E">
      <w:pPr>
        <w:pStyle w:val="Ttulo6"/>
      </w:pPr>
      <w:bookmarkStart w:id="66" w:name="_Toc177739168"/>
      <w:r w:rsidRPr="00684741">
        <w:t>Otros índices de precios</w:t>
      </w:r>
      <w:bookmarkEnd w:id="66"/>
    </w:p>
    <w:p w14:paraId="5C026D80" w14:textId="77777777" w:rsidR="002B7A8E" w:rsidRPr="00684741" w:rsidRDefault="002B7A8E" w:rsidP="002B7A8E">
      <w:pPr>
        <w:pStyle w:val="Nivel2SM"/>
        <w:keepNext/>
        <w:spacing w:after="0"/>
      </w:pPr>
      <w:r w:rsidRPr="00684741">
        <w:t>Índices de precios que excluyen o agrupan determinados productos:</w:t>
      </w:r>
    </w:p>
    <w:p w14:paraId="642FA143" w14:textId="77777777" w:rsidR="002B7A8E" w:rsidRPr="00684741" w:rsidRDefault="002B7A8E" w:rsidP="002B7A8E">
      <w:pPr>
        <w:pStyle w:val="Nivel3SM"/>
        <w:keepNext/>
      </w:pPr>
      <w:r w:rsidRPr="00684741">
        <w:t>Inflación subyacente:</w:t>
      </w:r>
    </w:p>
    <w:p w14:paraId="124A7869" w14:textId="77777777" w:rsidR="002B7A8E" w:rsidRPr="00684741" w:rsidRDefault="002B7A8E" w:rsidP="002B7A8E">
      <w:pPr>
        <w:pStyle w:val="Nivel4"/>
        <w:ind w:left="1474"/>
      </w:pPr>
      <w:r w:rsidRPr="00684741">
        <w:t xml:space="preserve">Calcula el IPC excluyendo los </w:t>
      </w:r>
      <w:r w:rsidRPr="009B014E">
        <w:t>productos energéticos y los alimentos</w:t>
      </w:r>
      <w:r w:rsidRPr="00684741">
        <w:t xml:space="preserve">, por ser los </w:t>
      </w:r>
      <w:r w:rsidRPr="009B014E">
        <w:t>componentes más volátiles</w:t>
      </w:r>
      <w:r w:rsidRPr="00684741">
        <w:t>.</w:t>
      </w:r>
    </w:p>
    <w:p w14:paraId="4DFA0B4B" w14:textId="77777777" w:rsidR="002B7A8E" w:rsidRPr="00824B08" w:rsidRDefault="002B7A8E" w:rsidP="002B7A8E">
      <w:pPr>
        <w:pStyle w:val="Nivel3SM"/>
        <w:keepNext/>
      </w:pPr>
      <w:r w:rsidRPr="00684741">
        <w:t>También hay otros como IPC-Alimentos, IPC-Energía</w:t>
      </w:r>
      <w:r>
        <w:t>…</w:t>
      </w:r>
    </w:p>
    <w:p w14:paraId="0C900A1A" w14:textId="77777777" w:rsidR="002B7A8E" w:rsidRPr="00684741" w:rsidRDefault="002B7A8E" w:rsidP="002B7A8E">
      <w:pPr>
        <w:pStyle w:val="Nivel3SM"/>
        <w:keepNext/>
      </w:pPr>
      <w:r w:rsidRPr="00684741">
        <w:rPr>
          <w:bCs/>
        </w:rPr>
        <w:t>Índice de Precios de Consumo Armonizado</w:t>
      </w:r>
      <w:r w:rsidRPr="00684741">
        <w:t xml:space="preserve"> (IPCA)</w:t>
      </w:r>
    </w:p>
    <w:p w14:paraId="0CE0305C" w14:textId="77777777" w:rsidR="002B7A8E" w:rsidRPr="00684741" w:rsidRDefault="002B7A8E" w:rsidP="002B7A8E">
      <w:pPr>
        <w:pStyle w:val="Nivel4"/>
        <w:ind w:left="1474"/>
      </w:pPr>
      <w:r w:rsidRPr="00684741">
        <w:t>Es un indicador estadístico cuyo objetivo es proporcionar una medida común de la inflación que permita realizar comparaciones entre los países de la UE.</w:t>
      </w:r>
    </w:p>
    <w:p w14:paraId="0FABF3A5" w14:textId="77777777" w:rsidR="002B7A8E" w:rsidRPr="00684741" w:rsidRDefault="002B7A8E" w:rsidP="002B7A8E">
      <w:pPr>
        <w:pStyle w:val="Nivel2SM"/>
        <w:keepNext/>
        <w:spacing w:after="0"/>
      </w:pPr>
      <w:r w:rsidRPr="00684741">
        <w:t>Deflactor del PIB:</w:t>
      </w:r>
    </w:p>
    <w:p w14:paraId="52AEB996" w14:textId="77777777" w:rsidR="002B7A8E" w:rsidRPr="00684741" w:rsidRDefault="002B7A8E" w:rsidP="002B7A8E">
      <w:pPr>
        <w:pStyle w:val="Nivel3SM"/>
      </w:pPr>
      <w:r w:rsidRPr="00684741">
        <w:t>Índice de tipo Paasche (parte de la cesta final) que tiene en cuenta todos los bienes y servicios producidos en el país.</w:t>
      </w:r>
    </w:p>
    <w:p w14:paraId="1412959F" w14:textId="77777777" w:rsidR="002B7A8E" w:rsidRPr="00684741" w:rsidRDefault="002B7A8E" w:rsidP="002B7A8E">
      <w:pPr>
        <w:pStyle w:val="Nivel3SM"/>
      </w:pPr>
      <w:r w:rsidRPr="00684741">
        <w:t>La comparación entre deflactor e IPC permite atisbar si la inflación es importada o generada dentro del país (y el país “importa estabilidad”).</w:t>
      </w:r>
    </w:p>
    <w:p w14:paraId="6482A4CE" w14:textId="1A046DA4" w:rsidR="00833D86" w:rsidRPr="002D4A66" w:rsidRDefault="00833D86" w:rsidP="004B6666">
      <w:pPr>
        <w:pStyle w:val="Ttulo3"/>
      </w:pPr>
      <w:bookmarkStart w:id="67" w:name="_Toc177739169"/>
      <w:r w:rsidRPr="00D76995">
        <w:t>Sector público</w:t>
      </w:r>
      <w:bookmarkEnd w:id="67"/>
    </w:p>
    <w:p w14:paraId="7507787A" w14:textId="77777777" w:rsidR="00EE4A83" w:rsidRDefault="00833D86" w:rsidP="00816377">
      <w:pPr>
        <w:pStyle w:val="Nivel2SM"/>
        <w:keepNext/>
        <w:spacing w:after="0"/>
      </w:pPr>
      <w:r w:rsidRPr="00D76995">
        <w:t xml:space="preserve">La información relativa al </w:t>
      </w:r>
      <w:r w:rsidR="00EE4A83">
        <w:t>sector público</w:t>
      </w:r>
      <w:r w:rsidRPr="00D76995">
        <w:t xml:space="preserve"> proviene principalmente de</w:t>
      </w:r>
      <w:r w:rsidR="00EE4A83">
        <w:t>:</w:t>
      </w:r>
    </w:p>
    <w:p w14:paraId="4063CEB7" w14:textId="459BB74F" w:rsidR="00EE4A83" w:rsidRDefault="00EE4A83" w:rsidP="00EE4A83">
      <w:pPr>
        <w:pStyle w:val="Nivel3SM"/>
      </w:pPr>
      <w:r w:rsidRPr="006F36EC">
        <w:rPr>
          <w:b/>
          <w:u w:val="single"/>
        </w:rPr>
        <w:t xml:space="preserve">Intervención General de la </w:t>
      </w:r>
      <w:r>
        <w:rPr>
          <w:b/>
          <w:u w:val="single"/>
        </w:rPr>
        <w:t>Administración del Estado</w:t>
      </w:r>
      <w:r w:rsidRPr="006F36EC">
        <w:rPr>
          <w:b/>
          <w:u w:val="single"/>
        </w:rPr>
        <w:t xml:space="preserve"> </w:t>
      </w:r>
      <w:r>
        <w:rPr>
          <w:b/>
          <w:u w:val="single"/>
        </w:rPr>
        <w:t>(</w:t>
      </w:r>
      <w:r w:rsidR="00833D86" w:rsidRPr="006F36EC">
        <w:rPr>
          <w:b/>
          <w:u w:val="single"/>
        </w:rPr>
        <w:t>IGAE</w:t>
      </w:r>
      <w:r>
        <w:rPr>
          <w:b/>
          <w:u w:val="single"/>
        </w:rPr>
        <w:t>)</w:t>
      </w:r>
      <w:r w:rsidR="00833D86" w:rsidRPr="00D76995">
        <w:t xml:space="preserve"> </w:t>
      </w:r>
      <w:r>
        <w:t>(</w:t>
      </w:r>
      <w:r w:rsidR="00833D86" w:rsidRPr="00D76995">
        <w:t xml:space="preserve">sobre la </w:t>
      </w:r>
      <w:r w:rsidR="00833D86" w:rsidRPr="00EE4A83">
        <w:rPr>
          <w:i/>
          <w:iCs/>
        </w:rPr>
        <w:t>ejecución mensual del presupuesto del Estado</w:t>
      </w:r>
      <w:r>
        <w:t>)</w:t>
      </w:r>
      <w:r w:rsidR="00816377">
        <w:t>;</w:t>
      </w:r>
    </w:p>
    <w:p w14:paraId="1A623F90" w14:textId="5D2D0E88" w:rsidR="00EE4A83" w:rsidRDefault="00833D86" w:rsidP="00EE4A83">
      <w:pPr>
        <w:pStyle w:val="Nivel3SM"/>
      </w:pPr>
      <w:r w:rsidRPr="006F36EC">
        <w:rPr>
          <w:b/>
          <w:u w:val="single"/>
        </w:rPr>
        <w:t>Intervención General de la Seguridad Social</w:t>
      </w:r>
      <w:r w:rsidR="00EE4A83">
        <w:rPr>
          <w:b/>
          <w:u w:val="single"/>
        </w:rPr>
        <w:t xml:space="preserve"> (IGSS)</w:t>
      </w:r>
      <w:r w:rsidRPr="00D76995">
        <w:t xml:space="preserve"> (</w:t>
      </w:r>
      <w:r w:rsidR="00EE4A83" w:rsidRPr="00D76995">
        <w:t xml:space="preserve">sobre la </w:t>
      </w:r>
      <w:r w:rsidR="00EE4A83" w:rsidRPr="00EE4A83">
        <w:rPr>
          <w:i/>
          <w:iCs/>
        </w:rPr>
        <w:t>ejecución mensual del presupuesto de</w:t>
      </w:r>
      <w:r w:rsidR="00EE4A83">
        <w:rPr>
          <w:i/>
          <w:iCs/>
        </w:rPr>
        <w:t xml:space="preserve"> la Seguridad Social</w:t>
      </w:r>
      <w:r w:rsidRPr="00D76995">
        <w:t>)</w:t>
      </w:r>
      <w:r w:rsidR="00EE4A83">
        <w:t xml:space="preserve">; </w:t>
      </w:r>
      <w:r w:rsidRPr="00D76995">
        <w:t>y</w:t>
      </w:r>
    </w:p>
    <w:p w14:paraId="33E21949" w14:textId="462D3DAC" w:rsidR="00F0450A" w:rsidRDefault="00833D86" w:rsidP="00EE4A83">
      <w:pPr>
        <w:pStyle w:val="Nivel3SM"/>
      </w:pPr>
      <w:r w:rsidRPr="00EE4A83">
        <w:rPr>
          <w:b/>
          <w:u w:val="single"/>
        </w:rPr>
        <w:t>D.G. del Tesoro</w:t>
      </w:r>
      <w:r w:rsidRPr="00D76995">
        <w:t xml:space="preserve"> (</w:t>
      </w:r>
      <w:r w:rsidRPr="00EE4A83">
        <w:rPr>
          <w:i/>
          <w:iCs/>
        </w:rPr>
        <w:t>estadísticas mensuales de deuda pública, déficit público</w:t>
      </w:r>
      <w:r w:rsidRPr="00D76995">
        <w:t>).</w:t>
      </w:r>
    </w:p>
    <w:p w14:paraId="03F0C79D" w14:textId="7960B260" w:rsidR="00F0450A" w:rsidRDefault="00F0450A" w:rsidP="00502761">
      <w:pPr>
        <w:pStyle w:val="Nivel2SM"/>
        <w:keepNext/>
        <w:spacing w:after="0"/>
      </w:pPr>
      <w:r>
        <w:t xml:space="preserve">El déficit público es precisamente una de las principales estadísticas a nivel Europeo, determinante entre otros de la inclusión o no del país en el denominado procedimiento de déficit excesivo. Profundizamos por tanto </w:t>
      </w:r>
      <w:r w:rsidR="00A82004">
        <w:t>en el concepto de déficit</w:t>
      </w:r>
      <w:r>
        <w:t>: El déficit representa la capacidad o necesidad de financiación. No obstante, existen diferentes medidas.</w:t>
      </w:r>
    </w:p>
    <w:p w14:paraId="417C8696" w14:textId="77777777" w:rsidR="00010116" w:rsidRDefault="00010116" w:rsidP="00010116">
      <w:pPr>
        <w:pStyle w:val="Nivel3SM"/>
        <w:keepNext/>
      </w:pPr>
      <w:r w:rsidRPr="00082E23">
        <w:rPr>
          <w:i/>
          <w:iCs/>
          <w:u w:val="single"/>
        </w:rPr>
        <w:t>Según las instituciones públicas consideradas</w:t>
      </w:r>
      <w:r>
        <w:t>:</w:t>
      </w:r>
    </w:p>
    <w:p w14:paraId="6143FD62" w14:textId="77777777" w:rsidR="00010116" w:rsidRDefault="00010116" w:rsidP="00010116">
      <w:pPr>
        <w:pStyle w:val="Nivel4"/>
        <w:ind w:left="1474"/>
      </w:pPr>
      <w:r>
        <w:t>Saldo de las AA.PP., del Estado, de las CC.AA…</w:t>
      </w:r>
    </w:p>
    <w:p w14:paraId="085C9117" w14:textId="77777777" w:rsidR="00010116" w:rsidRDefault="00010116" w:rsidP="00010116">
      <w:pPr>
        <w:pStyle w:val="Nivel3SM"/>
        <w:keepNext/>
      </w:pPr>
      <w:r w:rsidRPr="00082E23">
        <w:rPr>
          <w:i/>
          <w:iCs/>
          <w:u w:val="single"/>
        </w:rPr>
        <w:t>Según la naturaleza de las operaciones</w:t>
      </w:r>
      <w:r>
        <w:t>:</w:t>
      </w:r>
    </w:p>
    <w:p w14:paraId="6236D5D4" w14:textId="77777777" w:rsidR="00010116" w:rsidRPr="00082E23" w:rsidRDefault="00010116" w:rsidP="00010116">
      <w:pPr>
        <w:pStyle w:val="Nivel4"/>
        <w:ind w:left="1474"/>
      </w:pPr>
      <w:r w:rsidRPr="00082E23">
        <w:rPr>
          <w:i/>
          <w:iCs/>
        </w:rPr>
        <w:t>Saldo del sector público</w:t>
      </w:r>
      <w:r>
        <w:t xml:space="preserve"> = Ingresos – G</w:t>
      </w:r>
      <w:r w:rsidRPr="00082E23">
        <w:t>astos</w:t>
      </w:r>
    </w:p>
    <w:p w14:paraId="6CB601E0" w14:textId="77777777" w:rsidR="00010116" w:rsidRPr="00082E23" w:rsidRDefault="00010116" w:rsidP="00010116">
      <w:pPr>
        <w:pStyle w:val="Nivel4"/>
        <w:ind w:left="1474"/>
      </w:pPr>
      <w:r w:rsidRPr="00082E23">
        <w:rPr>
          <w:i/>
          <w:iCs/>
        </w:rPr>
        <w:t>Saldo cíclicamente ajustado</w:t>
      </w:r>
      <w:r>
        <w:t xml:space="preserve"> = </w:t>
      </w:r>
      <w:r w:rsidRPr="00082E23">
        <w:t>Saldo – efectos estabilizadores automáticos</w:t>
      </w:r>
    </w:p>
    <w:p w14:paraId="1D72E2BE" w14:textId="77777777" w:rsidR="00010116" w:rsidRPr="00082E23" w:rsidRDefault="00010116" w:rsidP="00010116">
      <w:pPr>
        <w:pStyle w:val="Nivel4"/>
        <w:ind w:left="1474"/>
      </w:pPr>
      <w:r w:rsidRPr="00082E23">
        <w:rPr>
          <w:i/>
          <w:iCs/>
        </w:rPr>
        <w:t>Saldo estructural</w:t>
      </w:r>
      <w:r>
        <w:t xml:space="preserve"> = </w:t>
      </w:r>
      <w:r w:rsidRPr="00082E23">
        <w:t xml:space="preserve">Saldo – efectos estabilizadores automáticos – </w:t>
      </w:r>
      <w:proofErr w:type="spellStart"/>
      <w:r w:rsidRPr="00264456">
        <w:rPr>
          <w:i/>
          <w:iCs/>
        </w:rPr>
        <w:t>one-offs</w:t>
      </w:r>
      <w:proofErr w:type="spellEnd"/>
    </w:p>
    <w:p w14:paraId="5B7149F2" w14:textId="77777777" w:rsidR="00010116" w:rsidRPr="00082E23" w:rsidRDefault="00010116" w:rsidP="00010116">
      <w:pPr>
        <w:pStyle w:val="Nivel4"/>
        <w:ind w:left="1474"/>
      </w:pPr>
      <w:r w:rsidRPr="00082E23">
        <w:rPr>
          <w:i/>
          <w:iCs/>
        </w:rPr>
        <w:t>Saldo primario</w:t>
      </w:r>
      <w:r>
        <w:t xml:space="preserve"> = </w:t>
      </w:r>
      <w:r w:rsidRPr="00082E23">
        <w:t>Saldo – servicio al pago de la deuda</w:t>
      </w:r>
    </w:p>
    <w:p w14:paraId="242EA83A" w14:textId="77777777" w:rsidR="00010116" w:rsidRDefault="00010116" w:rsidP="00010116">
      <w:pPr>
        <w:pStyle w:val="Nivel4"/>
        <w:ind w:left="1474"/>
      </w:pPr>
      <w:r w:rsidRPr="00082E23">
        <w:rPr>
          <w:i/>
          <w:iCs/>
        </w:rPr>
        <w:t>Saldo primario cíclicamente ajustado</w:t>
      </w:r>
      <w:r>
        <w:t xml:space="preserve"> = </w:t>
      </w:r>
      <w:r w:rsidRPr="004F2446">
        <w:t>Saldo</w:t>
      </w:r>
      <w:r>
        <w:t xml:space="preserve"> </w:t>
      </w:r>
      <w:r w:rsidRPr="004F2446">
        <w:t>– efectos del ciclo – servicio deuda</w:t>
      </w:r>
    </w:p>
    <w:p w14:paraId="2CF86E59" w14:textId="77777777" w:rsidR="00010116" w:rsidRPr="00082E23" w:rsidRDefault="00010116" w:rsidP="00010116">
      <w:pPr>
        <w:pStyle w:val="Nivel4"/>
        <w:ind w:left="1474"/>
      </w:pPr>
      <w:r w:rsidRPr="00082E23">
        <w:rPr>
          <w:i/>
          <w:iCs/>
        </w:rPr>
        <w:t>Saldo primario estructural</w:t>
      </w:r>
      <w:r>
        <w:t xml:space="preserve"> = </w:t>
      </w:r>
      <w:r w:rsidRPr="00082E23">
        <w:t xml:space="preserve">Saldo – efectos del ciclo – servicio deuda – </w:t>
      </w:r>
      <w:proofErr w:type="spellStart"/>
      <w:r w:rsidRPr="00264456">
        <w:rPr>
          <w:i/>
          <w:iCs/>
        </w:rPr>
        <w:t>one-offs</w:t>
      </w:r>
      <w:proofErr w:type="spellEnd"/>
    </w:p>
    <w:p w14:paraId="1E0210FA" w14:textId="54FFC4DF" w:rsidR="006C4856" w:rsidRPr="002D4A66" w:rsidRDefault="009E24C0" w:rsidP="00502761">
      <w:pPr>
        <w:pStyle w:val="Ttulo3"/>
      </w:pPr>
      <w:bookmarkStart w:id="68" w:name="_Toc177739170"/>
      <w:r w:rsidRPr="009E24C0">
        <w:lastRenderedPageBreak/>
        <w:t>Estadísticas en el marco de los Objetivos de Desarrollo Sostenible ONU</w:t>
      </w:r>
      <w:bookmarkEnd w:id="68"/>
    </w:p>
    <w:p w14:paraId="50520503" w14:textId="27484178" w:rsidR="009E24C0" w:rsidRDefault="009E24C0" w:rsidP="00D9724B">
      <w:pPr>
        <w:pStyle w:val="Nivel2SM"/>
        <w:keepNext/>
        <w:spacing w:after="0"/>
      </w:pPr>
      <w:r>
        <w:t>De cara a cumplir con los 17</w:t>
      </w:r>
      <w:r w:rsidR="002D4A66">
        <w:t> </w:t>
      </w:r>
      <w:r>
        <w:t>ODS de la Agenda 2030 de la ONU, el INE elabora y actualiza las estadísticas de estos objetivos.</w:t>
      </w:r>
    </w:p>
    <w:p w14:paraId="400554E9" w14:textId="238558D5" w:rsidR="009E24C0" w:rsidRPr="006833E3" w:rsidRDefault="009E24C0" w:rsidP="00D9724B">
      <w:pPr>
        <w:pStyle w:val="Nivel3SM"/>
        <w:rPr>
          <w:spacing w:val="-4"/>
        </w:rPr>
      </w:pPr>
      <w:r w:rsidRPr="006833E3">
        <w:rPr>
          <w:spacing w:val="-4"/>
        </w:rPr>
        <w:t>Entre otras se incluyen estadísticas de la acción contra el clima o la erradicación de la pobreza.</w:t>
      </w:r>
    </w:p>
    <w:p w14:paraId="724E8882" w14:textId="05C2F422" w:rsidR="005453AA" w:rsidRPr="002D4A66" w:rsidRDefault="005453AA" w:rsidP="002D4A66">
      <w:pPr>
        <w:pStyle w:val="Ttulo1"/>
      </w:pPr>
      <w:bookmarkStart w:id="69" w:name="_Toc177739171"/>
      <w:r w:rsidRPr="00D76995">
        <w:t>LIMITACIONES Y ARMONIZACIÓN EN EL ÁMBITO DE LA UE</w:t>
      </w:r>
      <w:bookmarkEnd w:id="69"/>
    </w:p>
    <w:p w14:paraId="79458FD4" w14:textId="505B72DA" w:rsidR="005453AA" w:rsidRPr="00D76995" w:rsidRDefault="005453AA" w:rsidP="00823534">
      <w:pPr>
        <w:pStyle w:val="Ttulo2"/>
      </w:pPr>
      <w:bookmarkStart w:id="70" w:name="_Toc177739172"/>
      <w:r w:rsidRPr="00D76995">
        <w:t>Limitaciones</w:t>
      </w:r>
      <w:bookmarkEnd w:id="70"/>
    </w:p>
    <w:p w14:paraId="0EEF8BFB" w14:textId="76208F65" w:rsidR="003477FC" w:rsidRDefault="003477FC" w:rsidP="00050966">
      <w:pPr>
        <w:pStyle w:val="Ttulo3"/>
        <w:spacing w:before="0"/>
      </w:pPr>
      <w:bookmarkStart w:id="71" w:name="_Toc177739173"/>
      <w:r>
        <w:t>Calidad e independencia de la información estadística</w:t>
      </w:r>
      <w:bookmarkEnd w:id="71"/>
    </w:p>
    <w:p w14:paraId="77838E9B" w14:textId="553D4DB5" w:rsidR="00D160A1" w:rsidRDefault="00D160A1" w:rsidP="00D160A1">
      <w:pPr>
        <w:pStyle w:val="Nivel2SM"/>
        <w:keepNext/>
        <w:spacing w:after="0"/>
      </w:pPr>
      <w:r>
        <w:t xml:space="preserve">El objetivo principal de todo sistema estadístico público ha de ser el de proporcionar una información </w:t>
      </w:r>
      <w:r>
        <w:rPr>
          <w:b/>
          <w:bCs/>
        </w:rPr>
        <w:t>independiente</w:t>
      </w:r>
      <w:r>
        <w:t xml:space="preserve"> y de </w:t>
      </w:r>
      <w:r>
        <w:rPr>
          <w:b/>
          <w:bCs/>
        </w:rPr>
        <w:t>calidad</w:t>
      </w:r>
      <w:r>
        <w:t xml:space="preserve"> sobre la economía y la sociedad a la que se refiere para permitir una toma de decisiones informad. Esta información ha de ser además oportuna, puntual, coherente y </w:t>
      </w:r>
      <w:r w:rsidRPr="006F7E4F">
        <w:t>comparable</w:t>
      </w:r>
      <w:r>
        <w:t xml:space="preserve"> todo ello respetando el </w:t>
      </w:r>
      <w:r>
        <w:rPr>
          <w:i/>
          <w:iCs/>
        </w:rPr>
        <w:t>secreto estadístico</w:t>
      </w:r>
      <w:r>
        <w:t>. Sin embargo, es preciso tener en cuenta ciertas limitaciones a las que se enfrenta cualquier sistema estadístico.</w:t>
      </w:r>
    </w:p>
    <w:p w14:paraId="0784F5F0" w14:textId="2B5464F3" w:rsidR="00D160A1" w:rsidRPr="00D160A1" w:rsidRDefault="00D160A1" w:rsidP="00D160A1">
      <w:pPr>
        <w:pStyle w:val="Nivel3SM"/>
        <w:keepNext/>
      </w:pPr>
      <w:r>
        <w:t xml:space="preserve">La </w:t>
      </w:r>
      <w:r w:rsidRPr="00D160A1">
        <w:rPr>
          <w:b/>
          <w:bCs/>
        </w:rPr>
        <w:t>calidad de la información estadística</w:t>
      </w:r>
      <w:r>
        <w:t xml:space="preserve"> vendrá determinada por cuánto se acerque </w:t>
      </w:r>
      <w:proofErr w:type="spellStart"/>
      <w:r>
        <w:t>esta</w:t>
      </w:r>
      <w:proofErr w:type="spellEnd"/>
      <w:r>
        <w:t xml:space="preserve"> a la realidad que estudia. Así, en toda información estadística podemos definir el error cometido en la estimación de una determinada característica como la diferencia entre el valor observado en la investigación, </w:t>
      </w:r>
      <m:oMath>
        <m:acc>
          <m:accPr>
            <m:ctrlPr>
              <w:rPr>
                <w:rFonts w:ascii="Cambria Math" w:hAnsi="Cambria Math"/>
                <w:i/>
              </w:rPr>
            </m:ctrlPr>
          </m:accPr>
          <m:e>
            <m:r>
              <m:rPr>
                <m:nor/>
              </m:rPr>
              <w:rPr>
                <w:i/>
              </w:rPr>
              <m:t>θ</m:t>
            </m:r>
          </m:e>
        </m:acc>
      </m:oMath>
      <w:r>
        <w:t xml:space="preserve">, y el valor desconocido que tiene en la realidad </w:t>
      </w:r>
      <m:oMath>
        <m:r>
          <m:rPr>
            <m:nor/>
          </m:rPr>
          <w:rPr>
            <w:i/>
          </w:rPr>
          <m:t>θ</m:t>
        </m:r>
      </m:oMath>
      <w:r w:rsidRPr="00D160A1">
        <w:rPr>
          <w:rFonts w:eastAsiaTheme="minorEastAsia"/>
        </w:rPr>
        <w:t>.</w:t>
      </w:r>
      <w:r>
        <w:rPr>
          <w:rFonts w:eastAsiaTheme="minorEastAsia"/>
        </w:rPr>
        <w:t xml:space="preserve"> </w:t>
      </w:r>
      <w:r w:rsidRPr="00D160A1">
        <w:rPr>
          <w:rFonts w:eastAsiaTheme="minorEastAsia"/>
        </w:rPr>
        <w:t xml:space="preserve">Entre los errores que se cometen al estimar una variable se puede diferenciar entre los </w:t>
      </w:r>
      <w:r w:rsidRPr="00D160A1">
        <w:rPr>
          <w:rFonts w:eastAsiaTheme="minorEastAsia"/>
          <w:i/>
          <w:iCs/>
        </w:rPr>
        <w:t>errores de muestreo</w:t>
      </w:r>
      <w:r w:rsidRPr="00D160A1">
        <w:rPr>
          <w:rFonts w:eastAsiaTheme="minorEastAsia"/>
        </w:rPr>
        <w:t xml:space="preserve"> y los </w:t>
      </w:r>
      <w:r w:rsidRPr="00D160A1">
        <w:rPr>
          <w:rFonts w:eastAsiaTheme="minorEastAsia"/>
          <w:i/>
          <w:iCs/>
        </w:rPr>
        <w:t>errores ajenos al muestreo</w:t>
      </w:r>
      <w:r w:rsidRPr="00D160A1">
        <w:rPr>
          <w:rFonts w:eastAsiaTheme="minorEastAsia"/>
        </w:rPr>
        <w:t>.</w:t>
      </w:r>
    </w:p>
    <w:p w14:paraId="364600B3" w14:textId="263D1E42" w:rsidR="00D160A1" w:rsidRDefault="00D160A1" w:rsidP="00D160A1">
      <w:pPr>
        <w:pStyle w:val="Nivel4"/>
        <w:ind w:left="1474"/>
      </w:pPr>
      <w:r>
        <w:t xml:space="preserve">Los </w:t>
      </w:r>
      <w:r w:rsidRPr="00D160A1">
        <w:rPr>
          <w:i/>
          <w:iCs/>
          <w:u w:val="single"/>
        </w:rPr>
        <w:t>errores de muestreo</w:t>
      </w:r>
      <w:r>
        <w:t xml:space="preserve"> son cuantificables y pueden reducirse al máximo con buenos diseños y muchos recursos. Llevado al extremo pueden eliminarse estudiando a la población de forma exhaustiva, se realiza entonces un censo, donde no existe el error de muestreo.</w:t>
      </w:r>
    </w:p>
    <w:p w14:paraId="56B9BBF6" w14:textId="1789DC94" w:rsidR="00D160A1" w:rsidRDefault="00D160A1" w:rsidP="00D160A1">
      <w:pPr>
        <w:pStyle w:val="Nivel4"/>
        <w:keepNext/>
        <w:ind w:left="1474"/>
      </w:pPr>
      <w:r>
        <w:t xml:space="preserve">Pero incluso cuando se realiza un censo, con los enormes costes que ello supone, existen los </w:t>
      </w:r>
      <w:r w:rsidRPr="00D160A1">
        <w:rPr>
          <w:i/>
          <w:iCs/>
          <w:u w:val="single"/>
        </w:rPr>
        <w:t>errores ajenos al muestreo</w:t>
      </w:r>
      <w:r>
        <w:t xml:space="preserve"> que se pueden clasificar en 3 grandes grupos:</w:t>
      </w:r>
    </w:p>
    <w:p w14:paraId="43263A4F" w14:textId="4EB36748" w:rsidR="00D160A1" w:rsidRDefault="00D160A1" w:rsidP="00D160A1">
      <w:pPr>
        <w:pStyle w:val="Nivel5"/>
        <w:ind w:left="1871"/>
      </w:pPr>
      <w:r w:rsidRPr="00D160A1">
        <w:rPr>
          <w:i/>
          <w:iCs/>
        </w:rPr>
        <w:t>Errores de cobertura</w:t>
      </w:r>
      <w:r>
        <w:t>. Son los que se derivan del hecho de que los marcos, registros o listas que se utilizan a la hora de diseñar la muestra no coinciden de forma exacta con la realidad pudiendo existir unidades vacías o duplicadas (p</w:t>
      </w:r>
      <w:r w:rsidR="00050966">
        <w:t>.</w:t>
      </w:r>
      <w:r>
        <w:t>ej. el DIRCE, que es el marco para realizar las encuestas a empresas no es perfecto y no contiene todas y cada una de las empresas de la economía española perfectamente actualizadas).</w:t>
      </w:r>
    </w:p>
    <w:p w14:paraId="0F3A5654" w14:textId="26DD34B6" w:rsidR="00D160A1" w:rsidRDefault="00D160A1" w:rsidP="00D160A1">
      <w:pPr>
        <w:pStyle w:val="Nivel5"/>
        <w:ind w:left="1871"/>
      </w:pPr>
      <w:r>
        <w:rPr>
          <w:i/>
          <w:iCs/>
        </w:rPr>
        <w:t>Errores de respuesta</w:t>
      </w:r>
      <w:r>
        <w:t>. Son los que se cometen cuando sí se obtiene la información pero esta es errónea por cualquier motivo.</w:t>
      </w:r>
    </w:p>
    <w:p w14:paraId="24426524" w14:textId="189279D1" w:rsidR="00D160A1" w:rsidRDefault="00D160A1" w:rsidP="00D160A1">
      <w:pPr>
        <w:pStyle w:val="Nivel5"/>
        <w:ind w:left="1871"/>
      </w:pPr>
      <w:r>
        <w:rPr>
          <w:i/>
          <w:iCs/>
        </w:rPr>
        <w:t>Falta de respuesta</w:t>
      </w:r>
      <w:r w:rsidRPr="00D160A1">
        <w:t>.</w:t>
      </w:r>
      <w:r>
        <w:t xml:space="preserve"> Se produce cuando no es posible contactar a quien ha sido seleccionado para suministrar la información.</w:t>
      </w:r>
    </w:p>
    <w:p w14:paraId="55C7D0C1" w14:textId="2AD46F4E" w:rsidR="00D160A1" w:rsidRDefault="00D160A1" w:rsidP="00D160A1">
      <w:pPr>
        <w:pStyle w:val="Nivel3SM"/>
        <w:numPr>
          <w:ilvl w:val="0"/>
          <w:numId w:val="0"/>
        </w:numPr>
        <w:ind w:left="963"/>
      </w:pPr>
      <w:r>
        <w:t>Estos errores producen sesgos en las estimaciones y alteran las varianzas usuales de las mismas. Para conseguir minimizar los errores de muestreo y ajenos al muestreo es importante conseguir unos procedimientos estadísticos adecuados, desde la recogida de datos hasta la publicación de los resultados. Para ello se requiere una asignación de recursos suficiente y que los mismos sean empleados de forma eficiente, tratando además de que no exista una carga excesiva para los encuestados para lo que se debe hacer el mejor uso posible de la información disponible, incluyendo la explotación de registros administrativos siempre que la legislación y, en particular, el respeto al secreto estadístico lo permitan.</w:t>
      </w:r>
    </w:p>
    <w:p w14:paraId="5A0D9482" w14:textId="0E84718E" w:rsidR="00D160A1" w:rsidRDefault="00813C4C" w:rsidP="00D160A1">
      <w:pPr>
        <w:pStyle w:val="Nivel3SM"/>
        <w:numPr>
          <w:ilvl w:val="0"/>
          <w:numId w:val="0"/>
        </w:numPr>
        <w:ind w:left="963"/>
      </w:pPr>
      <w:r>
        <w:t>Estos recursos asignados también deben ser suficientes para permitir que la información estadística se elabore y se publique de forma oportuna y puntual pues de otra forma pierde su utilidad.</w:t>
      </w:r>
    </w:p>
    <w:p w14:paraId="7D276A16" w14:textId="2D153178" w:rsidR="00813C4C" w:rsidRDefault="00813C4C" w:rsidP="00D160A1">
      <w:pPr>
        <w:pStyle w:val="Nivel3SM"/>
        <w:numPr>
          <w:ilvl w:val="0"/>
          <w:numId w:val="0"/>
        </w:numPr>
        <w:ind w:left="963"/>
      </w:pPr>
      <w:r>
        <w:lastRenderedPageBreak/>
        <w:t xml:space="preserve">Además, conseguir una </w:t>
      </w:r>
      <w:r w:rsidR="003477FC">
        <w:t>completa comparabilidad de las estadísticas, fundamentalmente a nivel internacional no siempre es posible por las distintas legislaciones, medios y las propias características de los distintos países.</w:t>
      </w:r>
    </w:p>
    <w:p w14:paraId="68BAF796" w14:textId="1D302B1D" w:rsidR="00A14214" w:rsidRPr="00A14214" w:rsidRDefault="003477FC" w:rsidP="003477FC">
      <w:pPr>
        <w:pStyle w:val="Nivel3SM"/>
        <w:keepNext/>
        <w:rPr>
          <w:spacing w:val="-6"/>
        </w:rPr>
      </w:pPr>
      <w:r w:rsidRPr="00A14214">
        <w:rPr>
          <w:spacing w:val="-4"/>
        </w:rPr>
        <w:t>El desconocimiento de los valores reales de las características que se estudian, los errores a los que por propia definición están sujetas las estimaciones y la gran relevancia que tiene muchas</w:t>
      </w:r>
      <w:r w:rsidRPr="00A14214">
        <w:t xml:space="preserve"> de las informaciones estadísticas que debe elaborar un sistema estadístico público, hacen imprescindible que se le proteja de injerencias políticas. Por ello</w:t>
      </w:r>
      <w:r w:rsidR="00A14214" w:rsidRPr="00A14214">
        <w:t>,</w:t>
      </w:r>
      <w:r w:rsidRPr="00A14214">
        <w:t xml:space="preserve"> se ha de garantizar la </w:t>
      </w:r>
      <w:r w:rsidRPr="00A14214">
        <w:rPr>
          <w:b/>
          <w:bCs/>
          <w:spacing w:val="-6"/>
        </w:rPr>
        <w:t>independencia funcional</w:t>
      </w:r>
      <w:r w:rsidRPr="00A14214">
        <w:rPr>
          <w:spacing w:val="-6"/>
        </w:rPr>
        <w:t xml:space="preserve"> de los institutos de estadística</w:t>
      </w:r>
      <w:r w:rsidR="00A14214" w:rsidRPr="00A14214">
        <w:rPr>
          <w:spacing w:val="-6"/>
        </w:rPr>
        <w:t>.</w:t>
      </w:r>
      <w:r w:rsidRPr="00A14214">
        <w:rPr>
          <w:spacing w:val="-6"/>
        </w:rPr>
        <w:t xml:space="preserve"> </w:t>
      </w:r>
      <w:proofErr w:type="gramStart"/>
      <w:r w:rsidR="00A14214" w:rsidRPr="00A14214">
        <w:rPr>
          <w:spacing w:val="-6"/>
        </w:rPr>
        <w:t>2 aspectos a considerar</w:t>
      </w:r>
      <w:proofErr w:type="gramEnd"/>
      <w:r w:rsidR="00A14214" w:rsidRPr="00A14214">
        <w:rPr>
          <w:spacing w:val="-6"/>
        </w:rPr>
        <w:t xml:space="preserve"> en este sentido:</w:t>
      </w:r>
    </w:p>
    <w:p w14:paraId="01B44D3E" w14:textId="4F159395" w:rsidR="00D160A1" w:rsidRDefault="00A14214" w:rsidP="00A14214">
      <w:pPr>
        <w:pStyle w:val="Nivel4"/>
        <w:ind w:left="1474"/>
      </w:pPr>
      <w:r>
        <w:t>E</w:t>
      </w:r>
      <w:r w:rsidR="003477FC">
        <w:t xml:space="preserve">n cumplimiento del primer principio del </w:t>
      </w:r>
      <w:r w:rsidR="003477FC" w:rsidRPr="00A14214">
        <w:t>Código de Buenas Prácticas de las Estadísticas Europeas</w:t>
      </w:r>
      <w:r w:rsidR="003477FC">
        <w:t xml:space="preserve">, relativo a la </w:t>
      </w:r>
      <w:r w:rsidR="003477FC" w:rsidRPr="00A14214">
        <w:rPr>
          <w:i/>
          <w:iCs/>
          <w:u w:val="single"/>
        </w:rPr>
        <w:t>independencia profesional</w:t>
      </w:r>
      <w:r w:rsidR="003477FC">
        <w:t xml:space="preserve">, que establece que, </w:t>
      </w:r>
      <w:r w:rsidR="003477FC" w:rsidRPr="00A14214">
        <w:rPr>
          <w:i/>
          <w:iCs/>
        </w:rPr>
        <w:t>“La independencia profesional de las autoridades estadísticas frente a otros departamentos y organismos políticos, reguladores o administrativos, y frente a los operadores del sector privado, garantiza la credibilidad de las estadísticas europeas”</w:t>
      </w:r>
      <w:r w:rsidR="003477FC">
        <w:t>.</w:t>
      </w:r>
    </w:p>
    <w:p w14:paraId="7CDF006F" w14:textId="1875E8DA" w:rsidR="003477FC" w:rsidRPr="00D76995" w:rsidRDefault="003477FC" w:rsidP="003477FC">
      <w:pPr>
        <w:pStyle w:val="Nivel4"/>
        <w:ind w:left="1474"/>
      </w:pPr>
      <w:r>
        <w:t xml:space="preserve">Además de garantizar la independencia de los profesionales de la estadística pública es importante proteger la </w:t>
      </w:r>
      <w:r w:rsidRPr="003477FC">
        <w:rPr>
          <w:i/>
          <w:iCs/>
          <w:u w:val="single"/>
        </w:rPr>
        <w:t>neutralidad</w:t>
      </w:r>
      <w:r>
        <w:t xml:space="preserve"> también en cuanto al </w:t>
      </w:r>
      <w:r w:rsidRPr="003477FC">
        <w:rPr>
          <w:i/>
          <w:iCs/>
        </w:rPr>
        <w:t>momento de publicación de las principales operaciones estadísticas</w:t>
      </w:r>
      <w:r>
        <w:t>. Así, el calendario de publicación de las principales operaciones estadísticas, especialmente las coyunturales (CNTR, EPA, IPC, etc.) es público y se conoce con suficiente antelación.</w:t>
      </w:r>
    </w:p>
    <w:p w14:paraId="23F1C07A" w14:textId="33532E5B" w:rsidR="005453AA" w:rsidRPr="00C07879" w:rsidRDefault="005453AA" w:rsidP="00823534">
      <w:pPr>
        <w:pStyle w:val="Ttulo3"/>
      </w:pPr>
      <w:bookmarkStart w:id="72" w:name="_Toc177739174"/>
      <w:r w:rsidRPr="00823534">
        <w:t>Principales</w:t>
      </w:r>
      <w:r w:rsidRPr="00D76995">
        <w:t xml:space="preserve"> limitaciones</w:t>
      </w:r>
      <w:bookmarkEnd w:id="72"/>
    </w:p>
    <w:p w14:paraId="0C71CE3B" w14:textId="333A2235" w:rsidR="005453AA" w:rsidRPr="00D76995" w:rsidRDefault="00050966" w:rsidP="00AD509F">
      <w:pPr>
        <w:pStyle w:val="Nivel2SM"/>
        <w:keepNext/>
        <w:spacing w:after="0"/>
      </w:pPr>
      <w:r>
        <w:t xml:space="preserve">Las limitaciones inherentes a las diferentes fuentes estadísticas hacen referencia a la </w:t>
      </w:r>
      <w:r>
        <w:rPr>
          <w:i/>
          <w:iCs/>
        </w:rPr>
        <w:t xml:space="preserve">disponibilidad y coste de la </w:t>
      </w:r>
      <w:r w:rsidRPr="00050966">
        <w:t>información</w:t>
      </w:r>
      <w:r>
        <w:t xml:space="preserve"> frente al </w:t>
      </w:r>
      <w:r>
        <w:rPr>
          <w:i/>
          <w:iCs/>
        </w:rPr>
        <w:t>rigor y la exactitud de la información proporcionada</w:t>
      </w:r>
      <w:r w:rsidRPr="00050966">
        <w:t xml:space="preserve">. </w:t>
      </w:r>
      <w:r w:rsidR="005453AA" w:rsidRPr="00050966">
        <w:t>Así</w:t>
      </w:r>
      <w:r w:rsidR="005453AA" w:rsidRPr="00D76995">
        <w:t>, las principales limitaciones son</w:t>
      </w:r>
      <w:r w:rsidR="003C12A7">
        <w:t xml:space="preserve"> </w:t>
      </w:r>
      <w:r w:rsidR="00A82004" w:rsidRPr="00A82004">
        <w:rPr>
          <w:b/>
        </w:rPr>
        <w:t>7</w:t>
      </w:r>
      <w:r w:rsidR="005453AA" w:rsidRPr="00D76995">
        <w:t>:</w:t>
      </w:r>
    </w:p>
    <w:p w14:paraId="050172F9" w14:textId="192629C2" w:rsidR="00875BE8" w:rsidRPr="00D76995" w:rsidRDefault="00875BE8" w:rsidP="00AD509F">
      <w:pPr>
        <w:pStyle w:val="Prrafodelista"/>
        <w:keepNext/>
        <w:numPr>
          <w:ilvl w:val="0"/>
          <w:numId w:val="60"/>
        </w:numPr>
        <w:spacing w:after="0"/>
        <w:ind w:left="1134" w:hanging="113"/>
      </w:pPr>
      <w:r w:rsidRPr="006B2503">
        <w:rPr>
          <w:i/>
          <w:iCs/>
          <w:u w:val="single"/>
        </w:rPr>
        <w:t>Metodología</w:t>
      </w:r>
      <w:r w:rsidR="00977438">
        <w:t>:</w:t>
      </w:r>
    </w:p>
    <w:p w14:paraId="23A45D27" w14:textId="0F1732D7" w:rsidR="00875BE8" w:rsidRPr="00D76995" w:rsidRDefault="00875BE8" w:rsidP="00AD509F">
      <w:pPr>
        <w:pStyle w:val="Nivel4"/>
        <w:keepNext/>
        <w:ind w:left="1474"/>
      </w:pPr>
      <w:r w:rsidRPr="00D76995">
        <w:t xml:space="preserve">Que entrañan </w:t>
      </w:r>
      <w:r w:rsidRPr="0063160F">
        <w:rPr>
          <w:b/>
        </w:rPr>
        <w:t>menor compatibilidad y coherencia</w:t>
      </w:r>
      <w:r w:rsidRPr="00D76995">
        <w:t>.</w:t>
      </w:r>
    </w:p>
    <w:p w14:paraId="73965876" w14:textId="77777777" w:rsidR="00875BE8" w:rsidRPr="00D76995" w:rsidRDefault="00875BE8" w:rsidP="00AD509F">
      <w:pPr>
        <w:pStyle w:val="Nivel4"/>
        <w:keepNext/>
        <w:ind w:left="1474"/>
      </w:pPr>
      <w:r w:rsidRPr="00D76995">
        <w:t xml:space="preserve">Como por ejemplo ocurrió con el cambio de metodología en la elaboración del </w:t>
      </w:r>
      <w:r w:rsidRPr="0063160F">
        <w:rPr>
          <w:b/>
        </w:rPr>
        <w:t>IPC en 2002, muy criticado</w:t>
      </w:r>
      <w:r w:rsidRPr="00D76995">
        <w:t>.</w:t>
      </w:r>
    </w:p>
    <w:p w14:paraId="69CCA904" w14:textId="160AF361" w:rsidR="005453AA" w:rsidRPr="00D76995" w:rsidRDefault="00875BE8" w:rsidP="00AD509F">
      <w:pPr>
        <w:pStyle w:val="Prrafodelista"/>
        <w:keepNext/>
        <w:numPr>
          <w:ilvl w:val="0"/>
          <w:numId w:val="60"/>
        </w:numPr>
        <w:spacing w:after="0"/>
        <w:ind w:left="1134" w:hanging="113"/>
      </w:pPr>
      <w:r w:rsidRPr="006B2503">
        <w:rPr>
          <w:i/>
          <w:iCs/>
          <w:u w:val="single"/>
        </w:rPr>
        <w:t>Errores contables</w:t>
      </w:r>
      <w:r w:rsidR="00A82004" w:rsidRPr="006B2503">
        <w:rPr>
          <w:i/>
          <w:iCs/>
          <w:u w:val="single"/>
        </w:rPr>
        <w:t xml:space="preserve"> y de estimación</w:t>
      </w:r>
      <w:r w:rsidR="005453AA" w:rsidRPr="00D76995">
        <w:t>:</w:t>
      </w:r>
    </w:p>
    <w:p w14:paraId="6B7CEBEC" w14:textId="77777777" w:rsidR="00A82004" w:rsidRPr="00A82004" w:rsidRDefault="00A82004" w:rsidP="00AD509F">
      <w:pPr>
        <w:pStyle w:val="Nivel4"/>
        <w:keepNext/>
        <w:ind w:left="1474"/>
      </w:pPr>
      <w:r w:rsidRPr="00A82004">
        <w:t>Balanza de pagos</w:t>
      </w:r>
    </w:p>
    <w:p w14:paraId="3273A509" w14:textId="77777777" w:rsidR="005453AA" w:rsidRPr="00D76995" w:rsidRDefault="005453AA" w:rsidP="00AD509F">
      <w:pPr>
        <w:pStyle w:val="Nivel5"/>
        <w:keepNext/>
        <w:ind w:left="1871"/>
      </w:pPr>
      <w:r w:rsidRPr="00D76995">
        <w:t>Se manifiesta sobre todo con relación a la BP, pero también en otros aspectos</w:t>
      </w:r>
      <w:r w:rsidR="003C12A7">
        <w:t>.</w:t>
      </w:r>
      <w:r w:rsidR="00F0450A">
        <w:t xml:space="preserve"> </w:t>
      </w:r>
      <w:r w:rsidR="00F0450A" w:rsidRPr="00F0450A">
        <w:t>Para el caso de la BP</w:t>
      </w:r>
      <w:r w:rsidR="00F0450A">
        <w:t>:</w:t>
      </w:r>
    </w:p>
    <w:p w14:paraId="198F1E1E" w14:textId="58912F1E" w:rsidR="00F0450A" w:rsidRPr="00D76995" w:rsidRDefault="00F0450A" w:rsidP="00AD509F">
      <w:pPr>
        <w:pStyle w:val="Nivel6"/>
        <w:ind w:left="2212"/>
      </w:pPr>
      <w:r w:rsidRPr="00D76995">
        <w:t xml:space="preserve">El libre comercio en el ámbito del </w:t>
      </w:r>
      <w:r w:rsidRPr="00A82004">
        <w:rPr>
          <w:b/>
        </w:rPr>
        <w:t>mercado interior</w:t>
      </w:r>
      <w:r w:rsidRPr="00D76995">
        <w:t xml:space="preserve"> genera una </w:t>
      </w:r>
      <w:r w:rsidRPr="00A82004">
        <w:rPr>
          <w:b/>
        </w:rPr>
        <w:t>gran pérdida de información</w:t>
      </w:r>
      <w:r w:rsidRPr="00D76995">
        <w:t xml:space="preserve"> (frente a ello, los beneficios del LC son enormes), lo que hace necesario recurrir a estimaciones, encuestas…, con el </w:t>
      </w:r>
      <w:r w:rsidRPr="00A82004">
        <w:rPr>
          <w:b/>
        </w:rPr>
        <w:t>alto volumen de errores y omisiones que ello entraña</w:t>
      </w:r>
      <w:r w:rsidRPr="00D76995">
        <w:t>.</w:t>
      </w:r>
    </w:p>
    <w:p w14:paraId="22832231" w14:textId="0C259167" w:rsidR="00F0450A" w:rsidRPr="00BC60EB" w:rsidRDefault="00F0450A" w:rsidP="00AD509F">
      <w:pPr>
        <w:pStyle w:val="Nivel6"/>
        <w:ind w:left="2212"/>
        <w:rPr>
          <w:spacing w:val="-3"/>
        </w:rPr>
      </w:pPr>
      <w:r w:rsidRPr="00BC60EB">
        <w:rPr>
          <w:spacing w:val="-3"/>
        </w:rPr>
        <w:t>Además, hay operaciones exentas de declaración, como los créditos comerciales a c</w:t>
      </w:r>
      <w:r w:rsidR="00BC60EB" w:rsidRPr="00BC60EB">
        <w:rPr>
          <w:spacing w:val="-3"/>
        </w:rPr>
        <w:t xml:space="preserve">orto </w:t>
      </w:r>
      <w:r w:rsidRPr="00BC60EB">
        <w:rPr>
          <w:spacing w:val="-3"/>
        </w:rPr>
        <w:t>p</w:t>
      </w:r>
      <w:r w:rsidR="00BC60EB" w:rsidRPr="00BC60EB">
        <w:rPr>
          <w:spacing w:val="-3"/>
        </w:rPr>
        <w:t>lazo</w:t>
      </w:r>
      <w:r w:rsidRPr="00BC60EB">
        <w:rPr>
          <w:spacing w:val="-3"/>
        </w:rPr>
        <w:t xml:space="preserve"> (&lt;1</w:t>
      </w:r>
      <w:r w:rsidR="0023186F" w:rsidRPr="00BC60EB">
        <w:rPr>
          <w:spacing w:val="-3"/>
        </w:rPr>
        <w:t> </w:t>
      </w:r>
      <w:r w:rsidRPr="00BC60EB">
        <w:rPr>
          <w:spacing w:val="-3"/>
        </w:rPr>
        <w:t>año) o las partidas con un importe menor de 3.000</w:t>
      </w:r>
      <w:r w:rsidR="0023186F" w:rsidRPr="00BC60EB">
        <w:rPr>
          <w:spacing w:val="-3"/>
        </w:rPr>
        <w:t> </w:t>
      </w:r>
      <w:r w:rsidRPr="00BC60EB">
        <w:rPr>
          <w:spacing w:val="-3"/>
        </w:rPr>
        <w:t>€.</w:t>
      </w:r>
    </w:p>
    <w:p w14:paraId="1BC37B9C" w14:textId="495A1B41" w:rsidR="00F0450A" w:rsidRPr="00D76995" w:rsidRDefault="00F0450A" w:rsidP="00AD509F">
      <w:pPr>
        <w:pStyle w:val="Nivel6"/>
        <w:ind w:left="2212"/>
      </w:pPr>
      <w:r>
        <w:t>Esto hace que haya una importante magnitud de errores y omisiones (0</w:t>
      </w:r>
      <w:r w:rsidR="0023186F">
        <w:t>,</w:t>
      </w:r>
      <w:r>
        <w:t>4</w:t>
      </w:r>
      <w:r w:rsidR="0023186F">
        <w:t> </w:t>
      </w:r>
      <w:r>
        <w:t>% del PIB en 2018).</w:t>
      </w:r>
    </w:p>
    <w:p w14:paraId="3569BFED" w14:textId="77777777" w:rsidR="00A82004" w:rsidRPr="00A82004" w:rsidRDefault="00A82004" w:rsidP="00AD509F">
      <w:pPr>
        <w:pStyle w:val="Nivel4"/>
        <w:keepNext/>
        <w:ind w:left="1474"/>
      </w:pPr>
      <w:r w:rsidRPr="00A82004">
        <w:t>Otros datos</w:t>
      </w:r>
    </w:p>
    <w:p w14:paraId="34F4C00A" w14:textId="77777777" w:rsidR="00A82004" w:rsidRDefault="00A82004" w:rsidP="00AD509F">
      <w:pPr>
        <w:pStyle w:val="Nivel5"/>
        <w:ind w:left="1871"/>
      </w:pPr>
      <w:r w:rsidRPr="00D76995">
        <w:t xml:space="preserve">Datos como la </w:t>
      </w:r>
      <w:r w:rsidRPr="0063160F">
        <w:t>productividad o el output gap son complicados de estimar</w:t>
      </w:r>
      <w:r w:rsidRPr="00D76995">
        <w:t xml:space="preserve"> pero tienen mucha importancia.</w:t>
      </w:r>
    </w:p>
    <w:p w14:paraId="2C780A6A" w14:textId="3E3E8506" w:rsidR="00A82004" w:rsidRPr="00D76995" w:rsidRDefault="00A82004" w:rsidP="00AD509F">
      <w:pPr>
        <w:pStyle w:val="Nivel5"/>
        <w:ind w:left="1871"/>
      </w:pPr>
      <w:r>
        <w:t xml:space="preserve">Por ejemplo a la hora de calcular el déficit cíclico de la economía para la obtención del déficit estructural y cumplir así con la </w:t>
      </w:r>
      <w:r w:rsidR="006B488C">
        <w:t xml:space="preserve">Ley Orgánica de </w:t>
      </w:r>
      <w:r w:rsidR="006B488C" w:rsidRPr="006B488C">
        <w:t>Estabilidad Presupuestaria y Sostenibilidad Financiera</w:t>
      </w:r>
      <w:r w:rsidR="006B488C">
        <w:t xml:space="preserve"> (</w:t>
      </w:r>
      <w:r>
        <w:t>LOEPYSF</w:t>
      </w:r>
      <w:r w:rsidR="006B488C">
        <w:t>)</w:t>
      </w:r>
      <w:r>
        <w:t>.</w:t>
      </w:r>
    </w:p>
    <w:p w14:paraId="143442A0" w14:textId="1B5F40F8" w:rsidR="00F0450A" w:rsidRPr="00D76995" w:rsidRDefault="00F0450A" w:rsidP="00AD509F">
      <w:pPr>
        <w:pStyle w:val="Prrafodelista"/>
        <w:keepNext/>
        <w:numPr>
          <w:ilvl w:val="0"/>
          <w:numId w:val="60"/>
        </w:numPr>
        <w:spacing w:after="0"/>
        <w:ind w:left="1134" w:hanging="113"/>
      </w:pPr>
      <w:r w:rsidRPr="006B2503">
        <w:rPr>
          <w:i/>
          <w:iCs/>
          <w:u w:val="single"/>
        </w:rPr>
        <w:t>Retrasos</w:t>
      </w:r>
      <w:r w:rsidR="006B2503">
        <w:t>:</w:t>
      </w:r>
    </w:p>
    <w:p w14:paraId="33ECBDDB" w14:textId="77777777" w:rsidR="00F0450A" w:rsidRPr="00D76995" w:rsidRDefault="00F0450A" w:rsidP="00AD509F">
      <w:pPr>
        <w:pStyle w:val="Nivel4"/>
        <w:ind w:left="1474"/>
      </w:pPr>
      <w:r w:rsidRPr="00D76995">
        <w:t>Como el que se da en la elaboración de las Tablas Input-Output, que hacen mucho menos útil la información.</w:t>
      </w:r>
    </w:p>
    <w:p w14:paraId="1C3C4A36" w14:textId="304C2178" w:rsidR="00F0450A" w:rsidRPr="00D76995" w:rsidRDefault="00F0450A" w:rsidP="00AD509F">
      <w:pPr>
        <w:pStyle w:val="Prrafodelista"/>
        <w:keepNext/>
        <w:numPr>
          <w:ilvl w:val="0"/>
          <w:numId w:val="60"/>
        </w:numPr>
        <w:spacing w:after="0"/>
        <w:ind w:left="1134" w:hanging="113"/>
      </w:pPr>
      <w:r w:rsidRPr="006B2503">
        <w:rPr>
          <w:i/>
          <w:iCs/>
          <w:u w:val="single"/>
        </w:rPr>
        <w:lastRenderedPageBreak/>
        <w:t>Errores en la EPA</w:t>
      </w:r>
      <w:r w:rsidR="006B2503">
        <w:t>:</w:t>
      </w:r>
    </w:p>
    <w:p w14:paraId="4FF7B050" w14:textId="7479EBD9" w:rsidR="00F0450A" w:rsidRPr="00D76995" w:rsidRDefault="00F0450A" w:rsidP="00AD509F">
      <w:pPr>
        <w:pStyle w:val="Nivel4"/>
        <w:ind w:left="1474"/>
      </w:pPr>
      <w:r w:rsidRPr="00D76995">
        <w:t xml:space="preserve">Que sólo lleva a cabo entrevistas entre las </w:t>
      </w:r>
      <w:r w:rsidRPr="0063160F">
        <w:rPr>
          <w:b/>
        </w:rPr>
        <w:t>9 y las 17</w:t>
      </w:r>
      <w:r w:rsidR="0023186F">
        <w:rPr>
          <w:b/>
        </w:rPr>
        <w:t> </w:t>
      </w:r>
      <w:r w:rsidRPr="0063160F">
        <w:rPr>
          <w:b/>
        </w:rPr>
        <w:t>horas</w:t>
      </w:r>
      <w:r w:rsidRPr="00D76995">
        <w:t>.</w:t>
      </w:r>
    </w:p>
    <w:p w14:paraId="6C33DDD4" w14:textId="73ACB4FC" w:rsidR="00F0450A" w:rsidRPr="00D76995" w:rsidRDefault="00F0450A" w:rsidP="00AD509F">
      <w:pPr>
        <w:pStyle w:val="Prrafodelista"/>
        <w:keepNext/>
        <w:numPr>
          <w:ilvl w:val="0"/>
          <w:numId w:val="60"/>
        </w:numPr>
        <w:spacing w:after="0"/>
        <w:ind w:left="1134" w:hanging="113"/>
      </w:pPr>
      <w:r w:rsidRPr="006B2503">
        <w:rPr>
          <w:i/>
          <w:iCs/>
          <w:u w:val="single"/>
        </w:rPr>
        <w:t>Manipulación de Estadísticas oficiales</w:t>
      </w:r>
      <w:r w:rsidR="006B2503">
        <w:t>:</w:t>
      </w:r>
    </w:p>
    <w:p w14:paraId="1CD1F605" w14:textId="77777777" w:rsidR="00F0450A" w:rsidRPr="00D76995" w:rsidRDefault="00F0450A" w:rsidP="00AD509F">
      <w:pPr>
        <w:pStyle w:val="Nivel4"/>
        <w:ind w:left="1474"/>
      </w:pPr>
      <w:r w:rsidRPr="00D76995">
        <w:t>A raíz de la crisis en Grecia.</w:t>
      </w:r>
    </w:p>
    <w:p w14:paraId="3DD7D5CA" w14:textId="234D1E31" w:rsidR="00F0450A" w:rsidRPr="00D76995" w:rsidRDefault="00F0450A" w:rsidP="00AD509F">
      <w:pPr>
        <w:pStyle w:val="Prrafodelista"/>
        <w:keepNext/>
        <w:numPr>
          <w:ilvl w:val="0"/>
          <w:numId w:val="60"/>
        </w:numPr>
        <w:spacing w:after="0"/>
        <w:ind w:left="1134" w:hanging="113"/>
      </w:pPr>
      <w:r w:rsidRPr="006B2503">
        <w:rPr>
          <w:i/>
          <w:iCs/>
          <w:u w:val="single"/>
        </w:rPr>
        <w:t>Servicios</w:t>
      </w:r>
      <w:r w:rsidRPr="00D76995">
        <w:t>:</w:t>
      </w:r>
    </w:p>
    <w:p w14:paraId="1C317429" w14:textId="77777777" w:rsidR="00F0450A" w:rsidRPr="00D76995" w:rsidRDefault="00F0450A" w:rsidP="00AD509F">
      <w:pPr>
        <w:pStyle w:val="Nivel4"/>
        <w:ind w:left="1474"/>
      </w:pPr>
      <w:r w:rsidRPr="00D76995">
        <w:t>Son poco controlables, de forma que existe mucha economía sumergida (evasión impositiva, ahorro de trámites...).</w:t>
      </w:r>
    </w:p>
    <w:p w14:paraId="30421134" w14:textId="60FB49DA" w:rsidR="005453AA" w:rsidRPr="00D76995" w:rsidRDefault="00875BE8" w:rsidP="00AD509F">
      <w:pPr>
        <w:pStyle w:val="Prrafodelista"/>
        <w:keepNext/>
        <w:numPr>
          <w:ilvl w:val="0"/>
          <w:numId w:val="60"/>
        </w:numPr>
        <w:spacing w:after="0"/>
        <w:ind w:left="1134" w:hanging="113"/>
      </w:pPr>
      <w:r w:rsidRPr="006B2503">
        <w:rPr>
          <w:i/>
          <w:iCs/>
          <w:u w:val="single"/>
        </w:rPr>
        <w:t>A</w:t>
      </w:r>
      <w:r w:rsidR="005453AA" w:rsidRPr="006B2503">
        <w:rPr>
          <w:i/>
          <w:iCs/>
          <w:u w:val="single"/>
        </w:rPr>
        <w:t>ctividades ilegales</w:t>
      </w:r>
      <w:r w:rsidR="005453AA" w:rsidRPr="00D76995">
        <w:t>:</w:t>
      </w:r>
    </w:p>
    <w:p w14:paraId="719AB63A" w14:textId="77777777" w:rsidR="005453AA" w:rsidRPr="00D76995" w:rsidRDefault="00F0450A" w:rsidP="00AD509F">
      <w:pPr>
        <w:pStyle w:val="Nivel4"/>
        <w:ind w:left="1474"/>
      </w:pPr>
      <w:r>
        <w:t>Las actividades ilegales hemos visto que contabilizan un total del 20% del PIB según la gran parte de estimaciones.</w:t>
      </w:r>
      <w:r w:rsidR="005453AA" w:rsidRPr="00D76995">
        <w:t xml:space="preserve"> </w:t>
      </w:r>
    </w:p>
    <w:p w14:paraId="5FCD79E6" w14:textId="03F5F0BB" w:rsidR="005453AA" w:rsidRPr="00D76995" w:rsidRDefault="005453AA" w:rsidP="00AD509F">
      <w:pPr>
        <w:pStyle w:val="Nivel4"/>
        <w:ind w:left="1474"/>
      </w:pPr>
      <w:r w:rsidRPr="00D76995">
        <w:t>Sin embargo, la estimación de una actividad ilegal, por la propia naturaleza de ésta, p</w:t>
      </w:r>
      <w:r w:rsidR="00F0450A">
        <w:t>resenta importantes dificultades y podría llevar a errores de bulto.</w:t>
      </w:r>
    </w:p>
    <w:p w14:paraId="34AD6ED6" w14:textId="00BD9995" w:rsidR="00EE5B3B" w:rsidRPr="0023186F" w:rsidRDefault="00EE5B3B" w:rsidP="00823534">
      <w:pPr>
        <w:pStyle w:val="Ttulo2"/>
      </w:pPr>
      <w:bookmarkStart w:id="73" w:name="_Toc177739175"/>
      <w:r w:rsidRPr="00D76995">
        <w:t>Armonización en el ámbito de la UE</w:t>
      </w:r>
      <w:bookmarkEnd w:id="73"/>
    </w:p>
    <w:p w14:paraId="1C61D231" w14:textId="3D765C3E" w:rsidR="00EE5B3B" w:rsidRPr="0023186F" w:rsidRDefault="005B2EA0" w:rsidP="004B6666">
      <w:pPr>
        <w:pStyle w:val="Ttulo3"/>
        <w:spacing w:before="0"/>
      </w:pPr>
      <w:bookmarkStart w:id="74" w:name="_Toc177739176"/>
      <w:r>
        <w:t>Justificación de la armonización</w:t>
      </w:r>
      <w:bookmarkEnd w:id="74"/>
    </w:p>
    <w:p w14:paraId="6FC972F2" w14:textId="41CFBE85" w:rsidR="00F0450A" w:rsidRDefault="00F0450A" w:rsidP="00D9724B">
      <w:pPr>
        <w:pStyle w:val="Nivel2SM"/>
        <w:keepNext/>
        <w:spacing w:after="0"/>
      </w:pPr>
      <w:r>
        <w:t xml:space="preserve">La justificación de la armonización reside principalmente en </w:t>
      </w:r>
      <w:r w:rsidR="001E2D2D" w:rsidRPr="003E730A">
        <w:rPr>
          <w:b/>
          <w:bCs/>
        </w:rPr>
        <w:t>2 </w:t>
      </w:r>
      <w:r w:rsidRPr="003E730A">
        <w:rPr>
          <w:b/>
          <w:bCs/>
        </w:rPr>
        <w:t>pilares</w:t>
      </w:r>
      <w:r w:rsidR="009E24C0">
        <w:t xml:space="preserve"> pero existen otros</w:t>
      </w:r>
      <w:r>
        <w:t>:</w:t>
      </w:r>
    </w:p>
    <w:p w14:paraId="56C2B979" w14:textId="3D13EE1B" w:rsidR="00F0450A" w:rsidRPr="003E730A" w:rsidRDefault="00F0450A" w:rsidP="003E730A">
      <w:pPr>
        <w:pStyle w:val="Nivel3SM"/>
        <w:keepNext/>
      </w:pPr>
      <w:r w:rsidRPr="003E730A">
        <w:rPr>
          <w:i/>
          <w:iCs/>
          <w:u w:val="single"/>
        </w:rPr>
        <w:t>Reforma del sistema de gobernanza</w:t>
      </w:r>
      <w:r>
        <w:t>:</w:t>
      </w:r>
      <w:r w:rsidR="003E730A">
        <w:t xml:space="preserve"> </w:t>
      </w:r>
      <w:r>
        <w:t xml:space="preserve">Implementa un importante control presupuestario a la vez que un elevado grado de coordinación temática y temporal de las políticas económicas (PEC, Semestre Europeo, </w:t>
      </w:r>
      <w:r w:rsidRPr="003E730A">
        <w:t>E2020…).</w:t>
      </w:r>
    </w:p>
    <w:p w14:paraId="376A2B18" w14:textId="3E0B6863" w:rsidR="009E24C0" w:rsidRDefault="00F0450A" w:rsidP="003E730A">
      <w:pPr>
        <w:pStyle w:val="Nivel3SM"/>
      </w:pPr>
      <w:r w:rsidRPr="003E730A">
        <w:rPr>
          <w:i/>
          <w:iCs/>
          <w:u w:val="single"/>
        </w:rPr>
        <w:t>El gran número de políticas comunes</w:t>
      </w:r>
      <w:r w:rsidR="003E730A">
        <w:t xml:space="preserve"> (p.ej. </w:t>
      </w:r>
      <w:r>
        <w:t xml:space="preserve">PAC, </w:t>
      </w:r>
      <w:r w:rsidR="003E730A">
        <w:t xml:space="preserve">PPC, </w:t>
      </w:r>
      <w:r>
        <w:t>Política Regional,</w:t>
      </w:r>
      <w:r w:rsidR="009E24C0">
        <w:t xml:space="preserve"> </w:t>
      </w:r>
      <w:r w:rsidR="003E730A">
        <w:t>política monetaria</w:t>
      </w:r>
      <w:r>
        <w:t>…</w:t>
      </w:r>
      <w:r w:rsidR="003E730A">
        <w:t>)</w:t>
      </w:r>
    </w:p>
    <w:p w14:paraId="4A818632" w14:textId="09A6E12B" w:rsidR="00EE5B3B" w:rsidRPr="0023186F" w:rsidRDefault="00EE5B3B" w:rsidP="00823534">
      <w:pPr>
        <w:pStyle w:val="Ttulo3"/>
      </w:pPr>
      <w:bookmarkStart w:id="75" w:name="_Toc177739177"/>
      <w:r w:rsidRPr="00D76995">
        <w:t>Marco institucional estadístico europeo</w:t>
      </w:r>
      <w:bookmarkEnd w:id="75"/>
    </w:p>
    <w:p w14:paraId="6605F7C4" w14:textId="0FF0A6B4" w:rsidR="009E24C0" w:rsidRDefault="00EE5B3B" w:rsidP="00023311">
      <w:pPr>
        <w:pStyle w:val="Nivel2SM"/>
        <w:keepNext/>
        <w:spacing w:after="0"/>
      </w:pPr>
      <w:r w:rsidRPr="00D76995">
        <w:t xml:space="preserve">El </w:t>
      </w:r>
      <w:r w:rsidRPr="006957C0">
        <w:rPr>
          <w:b/>
        </w:rPr>
        <w:t>Sistema Estadístico Europeo</w:t>
      </w:r>
      <w:r w:rsidRPr="00D76995">
        <w:t xml:space="preserve">, </w:t>
      </w:r>
      <w:r w:rsidR="009E24C0">
        <w:t xml:space="preserve">regulado por el reglamento de Estadística Europea está </w:t>
      </w:r>
      <w:r w:rsidRPr="00D76995">
        <w:t>compuesto por</w:t>
      </w:r>
      <w:r w:rsidR="009E24C0">
        <w:t>:</w:t>
      </w:r>
    </w:p>
    <w:p w14:paraId="0DFF0CFF" w14:textId="1FDC6D67" w:rsidR="009E24C0" w:rsidRDefault="00EE5B3B" w:rsidP="00023311">
      <w:pPr>
        <w:pStyle w:val="Nivel3SM"/>
      </w:pPr>
      <w:r w:rsidRPr="006F36EC">
        <w:t>Eurostat</w:t>
      </w:r>
      <w:r w:rsidRPr="00D76995">
        <w:t xml:space="preserve"> y las </w:t>
      </w:r>
      <w:r w:rsidRPr="006F36EC">
        <w:t>oficinas de estadística de todos los E</w:t>
      </w:r>
      <w:r w:rsidR="00023311">
        <w:t>stados miembros.</w:t>
      </w:r>
    </w:p>
    <w:p w14:paraId="49FB061A" w14:textId="4C73008B" w:rsidR="00EE5B3B" w:rsidRPr="00D76995" w:rsidRDefault="009E24C0" w:rsidP="00023311">
      <w:pPr>
        <w:pStyle w:val="Nivel3SM"/>
      </w:pPr>
      <w:r w:rsidRPr="009E24C0">
        <w:t>O</w:t>
      </w:r>
      <w:r w:rsidR="00EE5B3B" w:rsidRPr="009E24C0">
        <w:t>tros organismos</w:t>
      </w:r>
      <w:r w:rsidR="00EE5B3B" w:rsidRPr="00D76995">
        <w:t xml:space="preserve"> como el BCE.</w:t>
      </w:r>
    </w:p>
    <w:p w14:paraId="4FC21E8E" w14:textId="4535AEDF" w:rsidR="00EE5B3B" w:rsidRPr="00D76995" w:rsidRDefault="00EE5B3B" w:rsidP="00023311">
      <w:pPr>
        <w:pStyle w:val="Nivel2SM"/>
      </w:pPr>
      <w:r w:rsidRPr="00D76995">
        <w:t xml:space="preserve">Además, el SEE cuenta con un </w:t>
      </w:r>
      <w:r w:rsidRPr="006957C0">
        <w:rPr>
          <w:b/>
        </w:rPr>
        <w:t>Programa Estadístico Europeo</w:t>
      </w:r>
      <w:r w:rsidRPr="00D76995">
        <w:t xml:space="preserve"> que recoge planificación estadística para un período de </w:t>
      </w:r>
      <w:r w:rsidR="008E7ED5">
        <w:t xml:space="preserve">varios </w:t>
      </w:r>
      <w:r w:rsidRPr="00D76995">
        <w:t>años. Ahora mismo está en vigor el PEE 20</w:t>
      </w:r>
      <w:r w:rsidR="008E7ED5">
        <w:t>21</w:t>
      </w:r>
      <w:r w:rsidRPr="00D76995">
        <w:t>-20</w:t>
      </w:r>
      <w:r w:rsidR="005B2EA0">
        <w:t>2</w:t>
      </w:r>
      <w:r w:rsidR="008E7ED5">
        <w:t>7</w:t>
      </w:r>
      <w:r w:rsidR="008E7ED5">
        <w:rPr>
          <w:rStyle w:val="Refdenotaalpie"/>
        </w:rPr>
        <w:footnoteReference w:id="16"/>
      </w:r>
      <w:r w:rsidR="00337A8C">
        <w:t>.</w:t>
      </w:r>
    </w:p>
    <w:p w14:paraId="57B6C0C1" w14:textId="3338EE1F" w:rsidR="00EE5B3B" w:rsidRPr="0023186F" w:rsidRDefault="00A82004" w:rsidP="00823534">
      <w:pPr>
        <w:pStyle w:val="Ttulo3"/>
      </w:pPr>
      <w:bookmarkStart w:id="76" w:name="_Toc177739178"/>
      <w:r>
        <w:t>M</w:t>
      </w:r>
      <w:r w:rsidR="00EE5B3B" w:rsidRPr="00D76995">
        <w:t>etodología de armonización</w:t>
      </w:r>
      <w:bookmarkEnd w:id="76"/>
    </w:p>
    <w:p w14:paraId="190D86B4" w14:textId="755AC86C" w:rsidR="009E24C0" w:rsidRDefault="00EE5B3B" w:rsidP="00023311">
      <w:pPr>
        <w:pStyle w:val="Nivel2SM"/>
        <w:keepNext/>
        <w:spacing w:after="0"/>
      </w:pPr>
      <w:r w:rsidRPr="00D76995">
        <w:t xml:space="preserve">Un aspecto fundamental de la armonización estadística europea es que se ha basado, casi exclusivamente, en la </w:t>
      </w:r>
      <w:r w:rsidRPr="006957C0">
        <w:rPr>
          <w:b/>
        </w:rPr>
        <w:t>armonización de los resultados u outputs</w:t>
      </w:r>
      <w:r w:rsidRPr="00D76995">
        <w:t xml:space="preserve"> (conceptos, definiciones, clasificaciones, variables y tablas) y </w:t>
      </w:r>
      <w:r w:rsidRPr="006957C0">
        <w:rPr>
          <w:b/>
        </w:rPr>
        <w:t>no en la forma de obtenerlos</w:t>
      </w:r>
      <w:r w:rsidRPr="00D76995">
        <w:t xml:space="preserve"> (armonización de inputs).</w:t>
      </w:r>
    </w:p>
    <w:p w14:paraId="36F57205" w14:textId="647EF3C5" w:rsidR="00EE5B3B" w:rsidRPr="00D76995" w:rsidRDefault="00EE5B3B" w:rsidP="00023311">
      <w:pPr>
        <w:pStyle w:val="Nivel3SM"/>
      </w:pPr>
      <w:r w:rsidRPr="00D76995">
        <w:t>Ello es debido al hecho de que el SEE se constituye a partir de instituciones nacionales existentes, cada una de ellas con sus propios métodos y procedimientos.</w:t>
      </w:r>
    </w:p>
    <w:p w14:paraId="5D2E9B64" w14:textId="77777777" w:rsidR="00EE5B3B" w:rsidRPr="00D76995" w:rsidRDefault="00EE5B3B" w:rsidP="00023311">
      <w:pPr>
        <w:pStyle w:val="Nivel2SM"/>
        <w:keepNext/>
        <w:spacing w:after="0"/>
      </w:pPr>
      <w:r w:rsidRPr="00D76995">
        <w:t>Valoración:</w:t>
      </w:r>
    </w:p>
    <w:p w14:paraId="600C4097" w14:textId="3A859F31" w:rsidR="009E24C0" w:rsidRDefault="009E24C0" w:rsidP="00023311">
      <w:pPr>
        <w:pStyle w:val="Nivel3SM"/>
      </w:pPr>
      <w:r>
        <w:t>Rapidez de armonización.</w:t>
      </w:r>
    </w:p>
    <w:p w14:paraId="7346AAD4" w14:textId="033E04BC" w:rsidR="00EE5B3B" w:rsidRPr="00D76995" w:rsidRDefault="009E24C0" w:rsidP="00023311">
      <w:pPr>
        <w:pStyle w:val="Nivel3SM"/>
      </w:pPr>
      <w:r>
        <w:t>Pero pérdida de transparencia.</w:t>
      </w:r>
    </w:p>
    <w:p w14:paraId="22A2CBF5" w14:textId="7F15F6C1" w:rsidR="00EE5B3B" w:rsidRDefault="00EE5B3B" w:rsidP="00823534">
      <w:pPr>
        <w:pStyle w:val="Ttulo3"/>
      </w:pPr>
      <w:bookmarkStart w:id="77" w:name="_Toc177739179"/>
      <w:r w:rsidRPr="00D76995">
        <w:t>Programa Visión 2020</w:t>
      </w:r>
      <w:bookmarkEnd w:id="77"/>
    </w:p>
    <w:p w14:paraId="664F2B3F" w14:textId="168BB245" w:rsidR="00453343" w:rsidRPr="00453343" w:rsidRDefault="00000000" w:rsidP="00023311">
      <w:pPr>
        <w:pStyle w:val="Cajadeanotaciones"/>
        <w:keepNext/>
        <w:rPr>
          <w:sz w:val="18"/>
          <w:szCs w:val="18"/>
        </w:rPr>
      </w:pPr>
      <w:hyperlink r:id="rId22" w:history="1">
        <w:r w:rsidR="00453343" w:rsidRPr="00453343">
          <w:rPr>
            <w:rStyle w:val="Hipervnculo"/>
            <w:sz w:val="18"/>
            <w:szCs w:val="18"/>
          </w:rPr>
          <w:t>https://www.ine.es/ss/Satellite?L=es_ES&amp;c=Page&amp;cid=1259948620221&amp;p=1259948620221&amp;pagename=INE%2FINELayout</w:t>
        </w:r>
      </w:hyperlink>
    </w:p>
    <w:p w14:paraId="5A7730F9" w14:textId="77777777" w:rsidR="00EE5B3B" w:rsidRPr="00D76995" w:rsidRDefault="00EE5B3B" w:rsidP="00023311">
      <w:pPr>
        <w:pStyle w:val="Nivel1SM"/>
        <w:keepNext/>
        <w:spacing w:before="0" w:after="0"/>
      </w:pPr>
      <w:r w:rsidRPr="00D76995">
        <w:t xml:space="preserve">El programa </w:t>
      </w:r>
      <w:proofErr w:type="spellStart"/>
      <w:r w:rsidRPr="00D76995">
        <w:t>Vision</w:t>
      </w:r>
      <w:proofErr w:type="spellEnd"/>
      <w:r w:rsidRPr="00D76995">
        <w:t xml:space="preserve"> 2020 es la respuesta estratégica común del SEE a los desafíos que tienen por delante las estadísticas oficiales, aprobado en 2014, tiene como ejes principales:</w:t>
      </w:r>
    </w:p>
    <w:p w14:paraId="299E986D" w14:textId="77777777" w:rsidR="005B2EA0" w:rsidRPr="004E5162" w:rsidRDefault="005B2EA0" w:rsidP="00023311">
      <w:pPr>
        <w:pStyle w:val="Nivel2SM"/>
        <w:keepNext/>
        <w:spacing w:after="0"/>
        <w:rPr>
          <w:i/>
          <w:iCs/>
          <w:u w:val="single"/>
        </w:rPr>
      </w:pPr>
      <w:r w:rsidRPr="004E5162">
        <w:rPr>
          <w:i/>
          <w:iCs/>
          <w:u w:val="single"/>
        </w:rPr>
        <w:t>Definición de prioridades</w:t>
      </w:r>
    </w:p>
    <w:p w14:paraId="444A4A84" w14:textId="7F1EEE47" w:rsidR="00EE5B3B" w:rsidRPr="00D76995" w:rsidRDefault="004E5162" w:rsidP="00023311">
      <w:pPr>
        <w:pStyle w:val="Nivel3SM"/>
      </w:pPr>
      <w:r>
        <w:t>C</w:t>
      </w:r>
      <w:r w:rsidR="00EE5B3B" w:rsidRPr="00D76995">
        <w:t xml:space="preserve">on el objeto de </w:t>
      </w:r>
      <w:r w:rsidR="00EE5B3B" w:rsidRPr="006F36EC">
        <w:rPr>
          <w:b/>
        </w:rPr>
        <w:t>racionalizar la producción de estadísticas</w:t>
      </w:r>
      <w:r w:rsidR="00EE5B3B" w:rsidRPr="00D76995">
        <w:t>, eliminando las operaciones menos importantes para centrar esfuerzos en lo más relevante. En este sentido, la utilización de análisis coste-eficacia es esencial.</w:t>
      </w:r>
    </w:p>
    <w:p w14:paraId="71197747" w14:textId="77777777" w:rsidR="005B2EA0" w:rsidRPr="004E5162" w:rsidRDefault="005B2EA0" w:rsidP="00023311">
      <w:pPr>
        <w:pStyle w:val="Nivel2SM"/>
        <w:keepNext/>
        <w:spacing w:after="0"/>
        <w:rPr>
          <w:i/>
          <w:iCs/>
          <w:u w:val="single"/>
        </w:rPr>
      </w:pPr>
      <w:r w:rsidRPr="004E5162">
        <w:rPr>
          <w:i/>
          <w:iCs/>
          <w:u w:val="single"/>
        </w:rPr>
        <w:t>Armonización inputs</w:t>
      </w:r>
    </w:p>
    <w:p w14:paraId="7901CA03" w14:textId="698C9C72" w:rsidR="009E24C0" w:rsidRDefault="00EE5B3B" w:rsidP="00023311">
      <w:pPr>
        <w:pStyle w:val="Nivel3SM"/>
      </w:pPr>
      <w:r w:rsidRPr="00D76995">
        <w:t xml:space="preserve">Avanzar hacia un </w:t>
      </w:r>
      <w:r w:rsidRPr="006F36EC">
        <w:rPr>
          <w:b/>
        </w:rPr>
        <w:t>proceso de armonización desde la óptica de los inputs</w:t>
      </w:r>
      <w:r w:rsidRPr="00D76995">
        <w:t>.</w:t>
      </w:r>
    </w:p>
    <w:p w14:paraId="54AFD298" w14:textId="77777777" w:rsidR="005B2EA0" w:rsidRPr="004E5162" w:rsidRDefault="005B2EA0" w:rsidP="00023311">
      <w:pPr>
        <w:pStyle w:val="Nivel2SM"/>
        <w:keepNext/>
        <w:spacing w:after="0"/>
        <w:rPr>
          <w:i/>
          <w:iCs/>
          <w:u w:val="single"/>
        </w:rPr>
      </w:pPr>
      <w:r w:rsidRPr="004E5162">
        <w:rPr>
          <w:i/>
          <w:iCs/>
          <w:u w:val="single"/>
        </w:rPr>
        <w:lastRenderedPageBreak/>
        <w:t>Otras</w:t>
      </w:r>
    </w:p>
    <w:p w14:paraId="782EF4A5" w14:textId="77777777" w:rsidR="009E24C0" w:rsidRPr="00D76995" w:rsidRDefault="009E24C0" w:rsidP="00023311">
      <w:pPr>
        <w:pStyle w:val="Nivel3SM"/>
      </w:pPr>
      <w:r>
        <w:t>P</w:t>
      </w:r>
      <w:r w:rsidRPr="00D76995">
        <w:t>otenciar uso de TIC.</w:t>
      </w:r>
    </w:p>
    <w:p w14:paraId="249B20CF" w14:textId="6A1CAFAE" w:rsidR="00EE5B3B" w:rsidRPr="00023311" w:rsidRDefault="00EE5B3B" w:rsidP="00023311">
      <w:pPr>
        <w:pStyle w:val="Nivel3SM"/>
      </w:pPr>
      <w:r w:rsidRPr="00D76995">
        <w:t>Uso de nuevas fuentes de dato</w:t>
      </w:r>
      <w:r w:rsidR="004E5162">
        <w:t>s</w:t>
      </w:r>
      <w:r w:rsidRPr="00D76995">
        <w:t>, invirtiendo en métodos tecnológicos</w:t>
      </w:r>
      <w:r w:rsidR="00C304AC">
        <w:t>.</w:t>
      </w:r>
    </w:p>
    <w:p w14:paraId="1D8DC1F6" w14:textId="3435A215" w:rsidR="00453F07" w:rsidRPr="00D76995" w:rsidRDefault="00684BD7" w:rsidP="0023186F">
      <w:pPr>
        <w:pStyle w:val="Introduccinyconclusin"/>
      </w:pPr>
      <w:r w:rsidRPr="00D76995">
        <w:t>CONCLUSION</w:t>
      </w:r>
    </w:p>
    <w:p w14:paraId="2305C5F4" w14:textId="77777777" w:rsidR="007A4451" w:rsidRPr="00AC65FF" w:rsidRDefault="007A4451" w:rsidP="007A4451">
      <w:pPr>
        <w:pStyle w:val="Nivel1"/>
        <w:keepNext/>
        <w:spacing w:before="0" w:after="0"/>
        <w:rPr>
          <w:spacing w:val="-4"/>
        </w:rPr>
      </w:pPr>
      <w:r w:rsidRPr="00AC65FF">
        <w:rPr>
          <w:b/>
          <w:bCs/>
          <w:i/>
          <w:iCs/>
          <w:spacing w:val="-4"/>
        </w:rPr>
        <w:t>Recapitulación (Ideas clave)</w:t>
      </w:r>
      <w:r w:rsidRPr="00AC65FF">
        <w:rPr>
          <w:spacing w:val="-4"/>
        </w:rPr>
        <w:t>:</w:t>
      </w:r>
    </w:p>
    <w:p w14:paraId="0B4690B6" w14:textId="77777777" w:rsidR="007A4451" w:rsidRPr="007A4451" w:rsidRDefault="007A4451" w:rsidP="007A4451">
      <w:pPr>
        <w:pStyle w:val="Nivel2"/>
      </w:pPr>
      <w:r w:rsidRPr="007A4451">
        <w:t>A lo largo de esta exposición hemos revisado el sistema estadístico español. Hemos visto como en el mismo resulta cada vez más importante la armonización a nivel internacional, y especialmente a nivel europeo desde la adhesión a la CEE en 1986.</w:t>
      </w:r>
    </w:p>
    <w:p w14:paraId="7E4E5A14" w14:textId="2CE1D769" w:rsidR="007A4451" w:rsidRPr="006103EA" w:rsidRDefault="007A4451" w:rsidP="007A4451">
      <w:pPr>
        <w:pStyle w:val="Nivel2"/>
        <w:keepNext/>
        <w:spacing w:after="0"/>
      </w:pPr>
      <w:r w:rsidRPr="006103EA">
        <w:t>Además, hemos visto la gran variedad de fuentes de información disponibles, y c</w:t>
      </w:r>
      <w:r w:rsidR="00301684">
        <w:t>ó</w:t>
      </w:r>
      <w:r w:rsidRPr="006103EA">
        <w:t>mo estas resultan fundamentales para:</w:t>
      </w:r>
    </w:p>
    <w:p w14:paraId="1EE29BE4" w14:textId="77777777" w:rsidR="007A4451" w:rsidRDefault="007A4451" w:rsidP="007A4451">
      <w:pPr>
        <w:pStyle w:val="Prrafodelista"/>
        <w:numPr>
          <w:ilvl w:val="0"/>
          <w:numId w:val="49"/>
        </w:numPr>
        <w:spacing w:after="0"/>
        <w:ind w:left="1701" w:hanging="113"/>
      </w:pPr>
      <w:r w:rsidRPr="006103EA">
        <w:t>Conocer la realidad del país.</w:t>
      </w:r>
    </w:p>
    <w:p w14:paraId="76833F95" w14:textId="77777777" w:rsidR="007A4451" w:rsidRPr="006103EA" w:rsidRDefault="007A4451" w:rsidP="007A4451">
      <w:pPr>
        <w:pStyle w:val="Prrafodelista"/>
        <w:numPr>
          <w:ilvl w:val="0"/>
          <w:numId w:val="49"/>
        </w:numPr>
        <w:spacing w:after="0"/>
        <w:ind w:left="1701" w:hanging="113"/>
      </w:pPr>
      <w:r w:rsidRPr="006103EA">
        <w:t xml:space="preserve">Diagnosticar su situación presente, lo cual es necesario para valorar las políticas aplicadas y </w:t>
      </w:r>
      <w:r w:rsidRPr="007A4451">
        <w:t>abordar el diseño de otras nuevas</w:t>
      </w:r>
      <w:r w:rsidRPr="006103EA">
        <w:t>.</w:t>
      </w:r>
    </w:p>
    <w:p w14:paraId="242B3B74" w14:textId="77777777" w:rsidR="007A4451" w:rsidRDefault="007A4451" w:rsidP="007A4451">
      <w:pPr>
        <w:pStyle w:val="Prrafodelista"/>
        <w:numPr>
          <w:ilvl w:val="0"/>
          <w:numId w:val="49"/>
        </w:numPr>
        <w:spacing w:after="0"/>
        <w:ind w:left="1701" w:hanging="113"/>
      </w:pPr>
      <w:r w:rsidRPr="006103EA">
        <w:t>Llevar a cabo comparaciones internacionales que completen el conocimiento sobre nuestra realidad.</w:t>
      </w:r>
    </w:p>
    <w:p w14:paraId="2F87EAFF" w14:textId="77777777" w:rsidR="007A4451" w:rsidRDefault="007A4451" w:rsidP="007A4451">
      <w:pPr>
        <w:pStyle w:val="Nivel2"/>
      </w:pPr>
    </w:p>
    <w:p w14:paraId="0C4F0BD0" w14:textId="77777777" w:rsidR="007A4451" w:rsidRDefault="007A4451" w:rsidP="007A4451">
      <w:pPr>
        <w:pStyle w:val="Nivel2"/>
      </w:pPr>
    </w:p>
    <w:p w14:paraId="4F84CF80" w14:textId="77777777" w:rsidR="007A4451" w:rsidRPr="00AC65FF" w:rsidRDefault="007A4451" w:rsidP="007A4451">
      <w:pPr>
        <w:pStyle w:val="Nivel1"/>
        <w:keepNext/>
        <w:spacing w:after="0"/>
        <w:rPr>
          <w:spacing w:val="-4"/>
        </w:rPr>
      </w:pPr>
      <w:r w:rsidRPr="00AC65FF">
        <w:rPr>
          <w:b/>
          <w:bCs/>
          <w:i/>
          <w:iCs/>
          <w:spacing w:val="-4"/>
        </w:rPr>
        <w:t>Relevancia</w:t>
      </w:r>
      <w:r w:rsidRPr="00AC65FF">
        <w:rPr>
          <w:spacing w:val="-4"/>
        </w:rPr>
        <w:t>:</w:t>
      </w:r>
    </w:p>
    <w:p w14:paraId="35195065" w14:textId="77777777" w:rsidR="007A4451" w:rsidRDefault="007A4451" w:rsidP="007A4451">
      <w:pPr>
        <w:pStyle w:val="Nivel2"/>
      </w:pPr>
    </w:p>
    <w:p w14:paraId="272E05F0" w14:textId="77777777" w:rsidR="007A4451" w:rsidRPr="00AC65FF" w:rsidRDefault="007A4451" w:rsidP="007A4451">
      <w:pPr>
        <w:pStyle w:val="Nivel1"/>
        <w:keepNext/>
        <w:spacing w:after="0"/>
        <w:rPr>
          <w:spacing w:val="-4"/>
        </w:rPr>
      </w:pPr>
      <w:r w:rsidRPr="00AC65FF">
        <w:rPr>
          <w:b/>
          <w:bCs/>
          <w:i/>
          <w:iCs/>
          <w:spacing w:val="-4"/>
        </w:rPr>
        <w:t>Extensiones y relación con otras partes del temario</w:t>
      </w:r>
      <w:r w:rsidRPr="00AC65FF">
        <w:rPr>
          <w:spacing w:val="-4"/>
        </w:rPr>
        <w:t>:</w:t>
      </w:r>
    </w:p>
    <w:p w14:paraId="2BA69A76" w14:textId="77777777" w:rsidR="007A4451" w:rsidRDefault="007A4451" w:rsidP="007A4451">
      <w:pPr>
        <w:pStyle w:val="Nivel2"/>
      </w:pPr>
    </w:p>
    <w:p w14:paraId="31806547" w14:textId="77777777" w:rsidR="007A4451" w:rsidRPr="00AC65FF" w:rsidRDefault="007A4451" w:rsidP="007A4451">
      <w:pPr>
        <w:pStyle w:val="Nivel1"/>
        <w:keepNext/>
        <w:spacing w:after="0"/>
        <w:rPr>
          <w:spacing w:val="-4"/>
        </w:rPr>
      </w:pPr>
      <w:r w:rsidRPr="00AC65FF">
        <w:rPr>
          <w:b/>
          <w:bCs/>
          <w:i/>
          <w:iCs/>
          <w:spacing w:val="-4"/>
        </w:rPr>
        <w:t>Opinión</w:t>
      </w:r>
      <w:r w:rsidRPr="00AC65FF">
        <w:rPr>
          <w:spacing w:val="-4"/>
        </w:rPr>
        <w:t>:</w:t>
      </w:r>
    </w:p>
    <w:p w14:paraId="25BA286A" w14:textId="77777777" w:rsidR="007A4451" w:rsidRDefault="007A4451" w:rsidP="007A4451">
      <w:pPr>
        <w:pStyle w:val="Nivel2"/>
      </w:pPr>
    </w:p>
    <w:p w14:paraId="71AD3941" w14:textId="77777777" w:rsidR="007A4451" w:rsidRPr="00AC65FF" w:rsidRDefault="007A4451" w:rsidP="007A4451">
      <w:pPr>
        <w:pStyle w:val="Nivel1"/>
        <w:keepNext/>
        <w:spacing w:after="0"/>
        <w:rPr>
          <w:spacing w:val="-4"/>
        </w:rPr>
      </w:pPr>
      <w:r w:rsidRPr="00AC65FF">
        <w:rPr>
          <w:b/>
          <w:bCs/>
          <w:i/>
          <w:iCs/>
          <w:spacing w:val="-4"/>
        </w:rPr>
        <w:t>Idea final (Salida o cierre)</w:t>
      </w:r>
      <w:r w:rsidRPr="00AC65FF">
        <w:rPr>
          <w:spacing w:val="-4"/>
        </w:rPr>
        <w:t>:</w:t>
      </w:r>
    </w:p>
    <w:p w14:paraId="1D7A6F26" w14:textId="03D91127" w:rsidR="007A4451" w:rsidRDefault="00A23E34" w:rsidP="007A4451">
      <w:pPr>
        <w:pStyle w:val="Nivel2"/>
      </w:pPr>
      <w:r>
        <w:t>En definitiva, el sistema estadístico español es un sistema moderno y completo, perfectamente integrado en el sistema estadístico europeo y capaz de proporcionar información de calidad. Sus retos pasan por continuar su proceso de modernización, con una asignación eficiente de los recursos y por la implantación de métodos más avanzados de recogida y tratamiento de la información.</w:t>
      </w:r>
    </w:p>
    <w:p w14:paraId="7D06B415" w14:textId="4B5D7942" w:rsidR="007A4451" w:rsidRDefault="007A4451" w:rsidP="007A4451">
      <w:pPr>
        <w:spacing w:after="0" w:line="240" w:lineRule="auto"/>
        <w:jc w:val="left"/>
      </w:pPr>
      <w:r>
        <w:br w:type="page"/>
      </w:r>
    </w:p>
    <w:p w14:paraId="2F1908D1" w14:textId="77777777" w:rsidR="00AF1FE6" w:rsidRDefault="00AF1FE6" w:rsidP="00AF1FE6">
      <w:pPr>
        <w:pStyle w:val="Ttulo4"/>
      </w:pPr>
      <w:r>
        <w:lastRenderedPageBreak/>
        <w:t>Bibliografía</w:t>
      </w:r>
    </w:p>
    <w:p w14:paraId="6FCE3266" w14:textId="547076ED" w:rsidR="00756F12" w:rsidRDefault="00756F12" w:rsidP="00C068B3">
      <w:r>
        <w:t xml:space="preserve">Tema María Palacios </w:t>
      </w:r>
      <w:proofErr w:type="spellStart"/>
      <w:r>
        <w:t>Carrere</w:t>
      </w:r>
      <w:proofErr w:type="spellEnd"/>
    </w:p>
    <w:p w14:paraId="22B78734" w14:textId="637870AD" w:rsidR="00437EE8" w:rsidRDefault="00437EE8" w:rsidP="00C068B3">
      <w:r>
        <w:t>Tema Juan Luis Cordero Tarifa</w:t>
      </w:r>
    </w:p>
    <w:p w14:paraId="0DB58048" w14:textId="162EF69C" w:rsidR="007D6072" w:rsidRDefault="00756F12" w:rsidP="00C068B3">
      <w:r>
        <w:t>Tema ICEX-CECO</w:t>
      </w:r>
    </w:p>
    <w:p w14:paraId="13785265" w14:textId="30A3C7A6" w:rsidR="00437EE8" w:rsidRDefault="00756F12" w:rsidP="00C068B3">
      <w:r>
        <w:t>Tema José Bernardo de Lizaur</w:t>
      </w:r>
    </w:p>
    <w:p w14:paraId="216D66A7" w14:textId="77777777" w:rsidR="00AF1FE6" w:rsidRDefault="00AF1FE6" w:rsidP="00AF1FE6">
      <w:pPr>
        <w:pStyle w:val="Ttulo4"/>
      </w:pPr>
      <w:r>
        <w:t>Preguntas de otros exámenes</w:t>
      </w:r>
    </w:p>
    <w:p w14:paraId="7D07CCA3" w14:textId="77777777" w:rsidR="00AF1FE6" w:rsidRPr="002908B3" w:rsidRDefault="00AF1FE6" w:rsidP="00AF1FE6">
      <w:pPr>
        <w:pStyle w:val="Nivel2SM"/>
      </w:pPr>
    </w:p>
    <w:p w14:paraId="01B7FE06" w14:textId="77777777" w:rsidR="00AF1FE6" w:rsidRDefault="00AF1FE6" w:rsidP="00AF1FE6">
      <w:pPr>
        <w:pStyle w:val="Ttulo4"/>
      </w:pPr>
      <w:r w:rsidRPr="00342648">
        <w:t>Anexos</w:t>
      </w:r>
    </w:p>
    <w:p w14:paraId="1DE3D8E4" w14:textId="3186CD71" w:rsidR="00AF1FE6" w:rsidRPr="00AF1FE6" w:rsidRDefault="00AF1FE6" w:rsidP="00AF1FE6">
      <w:pPr>
        <w:pStyle w:val="Ttulo5"/>
        <w:rPr>
          <w:u w:val="none"/>
        </w:rPr>
      </w:pPr>
      <w:r w:rsidRPr="0002549F">
        <w:t>Anexo</w:t>
      </w:r>
      <w:r>
        <w:t> </w:t>
      </w:r>
      <w:r w:rsidRPr="0002549F">
        <w:t>1</w:t>
      </w:r>
      <w:r w:rsidRPr="00AF1FE6">
        <w:rPr>
          <w:u w:val="none"/>
        </w:rPr>
        <w:t xml:space="preserve">: </w:t>
      </w:r>
    </w:p>
    <w:sectPr w:rsidR="00AF1FE6" w:rsidRPr="00AF1FE6" w:rsidSect="00311E43">
      <w:headerReference w:type="even" r:id="rId23"/>
      <w:headerReference w:type="default" r:id="rId24"/>
      <w:footerReference w:type="even" r:id="rId25"/>
      <w:footerReference w:type="default" r:id="rId26"/>
      <w:headerReference w:type="first" r:id="rId27"/>
      <w:footerReference w:type="first" r:id="rId28"/>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C5FE1" w14:textId="77777777" w:rsidR="001A2047" w:rsidRDefault="001A2047">
      <w:r>
        <w:separator/>
      </w:r>
    </w:p>
  </w:endnote>
  <w:endnote w:type="continuationSeparator" w:id="0">
    <w:p w14:paraId="3ED4AE4E" w14:textId="77777777" w:rsidR="001A2047" w:rsidRDefault="001A2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F5BD9" w:rsidRPr="00C44422" w14:paraId="20AD729B" w14:textId="77777777" w:rsidTr="003F7404">
      <w:trPr>
        <w:trHeight w:val="138"/>
        <w:jc w:val="center"/>
      </w:trPr>
      <w:tc>
        <w:tcPr>
          <w:tcW w:w="1134" w:type="dxa"/>
        </w:tcPr>
        <w:p w14:paraId="6B791649" w14:textId="77777777" w:rsidR="001F5BD9" w:rsidRPr="00C44422" w:rsidRDefault="001F5BD9" w:rsidP="001F5BD9">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1F58F1A5" w14:textId="77777777" w:rsidR="001F5BD9" w:rsidRPr="00C44422" w:rsidRDefault="001F5BD9" w:rsidP="001F5BD9">
          <w:pPr>
            <w:pStyle w:val="Encabezado"/>
            <w:spacing w:after="0"/>
            <w:ind w:right="-110"/>
            <w:contextualSpacing/>
            <w:jc w:val="center"/>
            <w:rPr>
              <w:i/>
              <w:iCs/>
              <w:color w:val="5F2987"/>
              <w:sz w:val="18"/>
              <w:szCs w:val="18"/>
            </w:rPr>
          </w:pPr>
        </w:p>
      </w:tc>
      <w:tc>
        <w:tcPr>
          <w:tcW w:w="2551" w:type="dxa"/>
          <w:vAlign w:val="center"/>
        </w:tcPr>
        <w:p w14:paraId="323B1BFC" w14:textId="77777777" w:rsidR="001F5BD9" w:rsidRPr="00C44422" w:rsidRDefault="001F5BD9" w:rsidP="001F5BD9">
          <w:pPr>
            <w:pStyle w:val="Encabezado"/>
            <w:spacing w:after="0"/>
            <w:contextualSpacing/>
            <w:jc w:val="right"/>
            <w:rPr>
              <w:b/>
              <w:bCs/>
              <w:i/>
              <w:iCs/>
              <w:color w:val="5F2987"/>
              <w:spacing w:val="-6"/>
              <w:sz w:val="18"/>
              <w:szCs w:val="18"/>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F5BD9" w:rsidRPr="004C6AB8" w14:paraId="6CD87D93" w14:textId="77777777" w:rsidTr="003F7404">
      <w:trPr>
        <w:trHeight w:val="138"/>
        <w:jc w:val="center"/>
      </w:trPr>
      <w:tc>
        <w:tcPr>
          <w:tcW w:w="1134" w:type="dxa"/>
          <w:vAlign w:val="center"/>
        </w:tcPr>
        <w:p w14:paraId="6E9C6E0C" w14:textId="77777777" w:rsidR="001F5BD9" w:rsidRPr="004C6AB8" w:rsidRDefault="001F5BD9" w:rsidP="001F5BD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236A5F1" w14:textId="77777777" w:rsidR="001F5BD9" w:rsidRPr="004C6AB8" w:rsidRDefault="001F5BD9" w:rsidP="001F5BD9">
          <w:pPr>
            <w:pStyle w:val="Encabezado"/>
            <w:spacing w:after="0"/>
            <w:ind w:right="-110"/>
            <w:contextualSpacing/>
            <w:jc w:val="center"/>
            <w:rPr>
              <w:i/>
              <w:iCs/>
              <w:color w:val="5F2987"/>
              <w:sz w:val="18"/>
              <w:szCs w:val="18"/>
            </w:rPr>
          </w:pPr>
        </w:p>
      </w:tc>
      <w:tc>
        <w:tcPr>
          <w:tcW w:w="2551" w:type="dxa"/>
          <w:vAlign w:val="center"/>
        </w:tcPr>
        <w:p w14:paraId="0588D177" w14:textId="77777777" w:rsidR="001F5BD9" w:rsidRPr="004C6AB8" w:rsidRDefault="001F5BD9" w:rsidP="001F5BD9">
          <w:pPr>
            <w:pStyle w:val="Encabezado"/>
            <w:spacing w:after="0"/>
            <w:contextualSpacing/>
            <w:jc w:val="right"/>
            <w:rPr>
              <w:b/>
              <w:bCs/>
              <w:i/>
              <w:iCs/>
              <w:color w:val="5F2987"/>
              <w:spacing w:val="-6"/>
              <w:sz w:val="18"/>
              <w:szCs w:val="18"/>
            </w:rPr>
          </w:pPr>
          <w:r w:rsidRPr="004C6AB8">
            <w:rPr>
              <w:b/>
              <w:bCs/>
              <w:i/>
              <w:iCs/>
              <w:color w:val="5F2987"/>
              <w:spacing w:val="-6"/>
              <w:sz w:val="18"/>
              <w:szCs w:val="18"/>
            </w:rPr>
            <w:fldChar w:fldCharType="begin"/>
          </w:r>
          <w:r w:rsidRPr="004C6AB8">
            <w:rPr>
              <w:b/>
              <w:bCs/>
              <w:i/>
              <w:iCs/>
              <w:color w:val="5F2987"/>
              <w:spacing w:val="-6"/>
              <w:sz w:val="18"/>
              <w:szCs w:val="18"/>
            </w:rPr>
            <w:instrText>PAGE  \* Arabic  \* MERGEFORMAT</w:instrText>
          </w:r>
          <w:r w:rsidRPr="004C6AB8">
            <w:rPr>
              <w:b/>
              <w:bCs/>
              <w:i/>
              <w:iCs/>
              <w:color w:val="5F2987"/>
              <w:spacing w:val="-6"/>
              <w:sz w:val="18"/>
              <w:szCs w:val="18"/>
            </w:rPr>
            <w:fldChar w:fldCharType="separate"/>
          </w:r>
          <w:r w:rsidRPr="004C6AB8">
            <w:rPr>
              <w:b/>
              <w:bCs/>
              <w:i/>
              <w:iCs/>
              <w:color w:val="5F2987"/>
              <w:spacing w:val="-6"/>
              <w:sz w:val="18"/>
              <w:szCs w:val="18"/>
            </w:rPr>
            <w:t>1</w:t>
          </w:r>
          <w:r w:rsidRPr="004C6AB8">
            <w:rPr>
              <w:b/>
              <w:bCs/>
              <w:i/>
              <w:iCs/>
              <w:color w:val="5F2987"/>
              <w:spacing w:val="-6"/>
              <w:sz w:val="18"/>
              <w:szCs w:val="18"/>
            </w:rPr>
            <w:fldChar w:fldCharType="end"/>
          </w:r>
          <w:r w:rsidRPr="004C6AB8">
            <w:rPr>
              <w:b/>
              <w:bCs/>
              <w:i/>
              <w:iCs/>
              <w:color w:val="5F2987"/>
              <w:spacing w:val="-6"/>
              <w:sz w:val="18"/>
              <w:szCs w:val="18"/>
            </w:rPr>
            <w:t>/</w:t>
          </w:r>
          <w:r w:rsidRPr="004C6AB8">
            <w:rPr>
              <w:b/>
              <w:bCs/>
              <w:i/>
              <w:iCs/>
              <w:color w:val="5F2987"/>
              <w:spacing w:val="-6"/>
              <w:sz w:val="18"/>
              <w:szCs w:val="18"/>
            </w:rPr>
            <w:fldChar w:fldCharType="begin"/>
          </w:r>
          <w:r w:rsidRPr="004C6AB8">
            <w:rPr>
              <w:b/>
              <w:bCs/>
              <w:i/>
              <w:iCs/>
              <w:color w:val="5F2987"/>
              <w:spacing w:val="-6"/>
              <w:sz w:val="18"/>
              <w:szCs w:val="18"/>
            </w:rPr>
            <w:instrText>NUMPAGES  \* Arabic  \* MERGEFORMAT</w:instrText>
          </w:r>
          <w:r w:rsidRPr="004C6AB8">
            <w:rPr>
              <w:b/>
              <w:bCs/>
              <w:i/>
              <w:iCs/>
              <w:color w:val="5F2987"/>
              <w:spacing w:val="-6"/>
              <w:sz w:val="18"/>
              <w:szCs w:val="18"/>
            </w:rPr>
            <w:fldChar w:fldCharType="separate"/>
          </w:r>
          <w:r w:rsidRPr="004C6AB8">
            <w:rPr>
              <w:b/>
              <w:bCs/>
              <w:i/>
              <w:iCs/>
              <w:color w:val="5F2987"/>
              <w:spacing w:val="-6"/>
              <w:sz w:val="18"/>
              <w:szCs w:val="18"/>
            </w:rPr>
            <w:t>2</w:t>
          </w:r>
          <w:r w:rsidRPr="004C6AB8">
            <w:rPr>
              <w:b/>
              <w:bCs/>
              <w:i/>
              <w:iCs/>
              <w:color w:val="5F2987"/>
              <w:spacing w:val="-6"/>
              <w:sz w:val="18"/>
              <w:szCs w:val="18"/>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sdt>
      <w:sdtPr>
        <w:rPr>
          <w:color w:val="5F2987"/>
          <w:sz w:val="18"/>
          <w:szCs w:val="18"/>
          <w:lang w:val="es-ES"/>
        </w:rPr>
        <w:id w:val="1186725919"/>
        <w:docPartObj>
          <w:docPartGallery w:val="Page Numbers (Bottom of Page)"/>
          <w:docPartUnique/>
        </w:docPartObj>
      </w:sdtPr>
      <w:sdtEndPr>
        <w:rPr>
          <w:noProof/>
        </w:rPr>
      </w:sdtEndPr>
      <w:sdtContent>
        <w:tr w:rsidR="00311E43" w:rsidRPr="004C6AB8" w14:paraId="053ABE87" w14:textId="77777777" w:rsidTr="003F7404">
          <w:trPr>
            <w:trHeight w:val="138"/>
            <w:jc w:val="center"/>
          </w:trPr>
          <w:tc>
            <w:tcPr>
              <w:tcW w:w="1134" w:type="dxa"/>
              <w:vAlign w:val="center"/>
            </w:tcPr>
            <w:p w14:paraId="640B7227" w14:textId="77777777" w:rsidR="00311E43" w:rsidRPr="004C6AB8" w:rsidRDefault="00311E43" w:rsidP="00311E43">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6273B7B" w14:textId="77777777" w:rsidR="00311E43" w:rsidRPr="004C6AB8" w:rsidRDefault="00311E43" w:rsidP="00311E43">
              <w:pPr>
                <w:pStyle w:val="Encabezado"/>
                <w:spacing w:after="0"/>
                <w:ind w:right="-110"/>
                <w:contextualSpacing/>
                <w:jc w:val="center"/>
                <w:rPr>
                  <w:i/>
                  <w:iCs/>
                  <w:color w:val="5F2987"/>
                  <w:sz w:val="18"/>
                  <w:szCs w:val="18"/>
                </w:rPr>
              </w:pPr>
            </w:p>
          </w:tc>
          <w:tc>
            <w:tcPr>
              <w:tcW w:w="2551" w:type="dxa"/>
              <w:vAlign w:val="center"/>
            </w:tcPr>
            <w:p w14:paraId="4A219415" w14:textId="77777777" w:rsidR="00311E43" w:rsidRPr="004C6AB8" w:rsidRDefault="00311E43" w:rsidP="00311E43">
              <w:pPr>
                <w:pStyle w:val="Encabezado"/>
                <w:spacing w:after="0"/>
                <w:contextualSpacing/>
                <w:jc w:val="right"/>
                <w:rPr>
                  <w:b/>
                  <w:bCs/>
                  <w:i/>
                  <w:iCs/>
                  <w:color w:val="5F2987"/>
                  <w:spacing w:val="-6"/>
                  <w:sz w:val="18"/>
                  <w:szCs w:val="18"/>
                </w:rPr>
              </w:pPr>
              <w:r w:rsidRPr="004C6AB8">
                <w:rPr>
                  <w:b/>
                  <w:bCs/>
                  <w:i/>
                  <w:iCs/>
                  <w:color w:val="5F2987"/>
                  <w:spacing w:val="-6"/>
                  <w:sz w:val="18"/>
                  <w:szCs w:val="18"/>
                </w:rPr>
                <w:fldChar w:fldCharType="begin"/>
              </w:r>
              <w:r w:rsidRPr="004C6AB8">
                <w:rPr>
                  <w:b/>
                  <w:bCs/>
                  <w:i/>
                  <w:iCs/>
                  <w:color w:val="5F2987"/>
                  <w:spacing w:val="-6"/>
                  <w:sz w:val="18"/>
                  <w:szCs w:val="18"/>
                </w:rPr>
                <w:instrText>PAGE  \* Arabic  \* MERGEFORMAT</w:instrText>
              </w:r>
              <w:r w:rsidRPr="004C6AB8">
                <w:rPr>
                  <w:b/>
                  <w:bCs/>
                  <w:i/>
                  <w:iCs/>
                  <w:color w:val="5F2987"/>
                  <w:spacing w:val="-6"/>
                  <w:sz w:val="18"/>
                  <w:szCs w:val="18"/>
                </w:rPr>
                <w:fldChar w:fldCharType="separate"/>
              </w:r>
              <w:r w:rsidRPr="004C6AB8">
                <w:rPr>
                  <w:b/>
                  <w:bCs/>
                  <w:i/>
                  <w:iCs/>
                  <w:color w:val="5F2987"/>
                  <w:spacing w:val="-6"/>
                  <w:sz w:val="18"/>
                  <w:szCs w:val="18"/>
                </w:rPr>
                <w:t>1</w:t>
              </w:r>
              <w:r w:rsidRPr="004C6AB8">
                <w:rPr>
                  <w:b/>
                  <w:bCs/>
                  <w:i/>
                  <w:iCs/>
                  <w:color w:val="5F2987"/>
                  <w:spacing w:val="-6"/>
                  <w:sz w:val="18"/>
                  <w:szCs w:val="18"/>
                </w:rPr>
                <w:fldChar w:fldCharType="end"/>
              </w:r>
              <w:r w:rsidRPr="004C6AB8">
                <w:rPr>
                  <w:b/>
                  <w:bCs/>
                  <w:i/>
                  <w:iCs/>
                  <w:color w:val="5F2987"/>
                  <w:spacing w:val="-6"/>
                  <w:sz w:val="18"/>
                  <w:szCs w:val="18"/>
                </w:rPr>
                <w:t>/</w:t>
              </w:r>
              <w:r w:rsidRPr="004C6AB8">
                <w:rPr>
                  <w:b/>
                  <w:bCs/>
                  <w:i/>
                  <w:iCs/>
                  <w:color w:val="5F2987"/>
                  <w:spacing w:val="-6"/>
                  <w:sz w:val="18"/>
                  <w:szCs w:val="18"/>
                </w:rPr>
                <w:fldChar w:fldCharType="begin"/>
              </w:r>
              <w:r w:rsidRPr="004C6AB8">
                <w:rPr>
                  <w:b/>
                  <w:bCs/>
                  <w:i/>
                  <w:iCs/>
                  <w:color w:val="5F2987"/>
                  <w:spacing w:val="-6"/>
                  <w:sz w:val="18"/>
                  <w:szCs w:val="18"/>
                </w:rPr>
                <w:instrText>NUMPAGES  \* Arabic  \* MERGEFORMAT</w:instrText>
              </w:r>
              <w:r w:rsidRPr="004C6AB8">
                <w:rPr>
                  <w:b/>
                  <w:bCs/>
                  <w:i/>
                  <w:iCs/>
                  <w:color w:val="5F2987"/>
                  <w:spacing w:val="-6"/>
                  <w:sz w:val="18"/>
                  <w:szCs w:val="18"/>
                </w:rPr>
                <w:fldChar w:fldCharType="separate"/>
              </w:r>
              <w:r w:rsidRPr="004C6AB8">
                <w:rPr>
                  <w:b/>
                  <w:bCs/>
                  <w:i/>
                  <w:iCs/>
                  <w:color w:val="5F2987"/>
                  <w:spacing w:val="-6"/>
                  <w:sz w:val="18"/>
                  <w:szCs w:val="18"/>
                </w:rPr>
                <w:t>2</w:t>
              </w:r>
              <w:r w:rsidRPr="004C6AB8">
                <w:rPr>
                  <w:b/>
                  <w:bCs/>
                  <w:i/>
                  <w:iCs/>
                  <w:color w:val="5F2987"/>
                  <w:spacing w:val="-6"/>
                  <w:sz w:val="18"/>
                  <w:szCs w:val="18"/>
                </w:rPr>
                <w:fldChar w:fldCharType="end"/>
              </w:r>
            </w:p>
          </w:tc>
        </w:tr>
      </w:sdtContent>
    </w:sdt>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C9500" w14:textId="77777777" w:rsidR="001A2047" w:rsidRPr="00595B35" w:rsidRDefault="001A2047" w:rsidP="00595B35">
      <w:pPr>
        <w:spacing w:after="0" w:line="240" w:lineRule="auto"/>
        <w:rPr>
          <w:sz w:val="16"/>
          <w:szCs w:val="16"/>
        </w:rPr>
      </w:pPr>
      <w:r w:rsidRPr="00595B35">
        <w:rPr>
          <w:sz w:val="16"/>
          <w:szCs w:val="16"/>
        </w:rPr>
        <w:separator/>
      </w:r>
    </w:p>
  </w:footnote>
  <w:footnote w:type="continuationSeparator" w:id="0">
    <w:p w14:paraId="49F518FD" w14:textId="77777777" w:rsidR="001A2047" w:rsidRPr="00595B35" w:rsidRDefault="001A2047" w:rsidP="00595B35">
      <w:pPr>
        <w:spacing w:after="0" w:line="240" w:lineRule="auto"/>
        <w:rPr>
          <w:sz w:val="16"/>
          <w:szCs w:val="16"/>
        </w:rPr>
      </w:pPr>
      <w:r w:rsidRPr="00595B35">
        <w:rPr>
          <w:sz w:val="16"/>
          <w:szCs w:val="16"/>
        </w:rPr>
        <w:continuationSeparator/>
      </w:r>
    </w:p>
  </w:footnote>
  <w:footnote w:type="continuationNotice" w:id="1">
    <w:p w14:paraId="723B6057" w14:textId="77777777" w:rsidR="001A2047" w:rsidRPr="00595B35" w:rsidRDefault="001A2047" w:rsidP="00595B35">
      <w:pPr>
        <w:spacing w:after="0" w:line="192" w:lineRule="auto"/>
        <w:jc w:val="right"/>
        <w:rPr>
          <w:sz w:val="16"/>
          <w:szCs w:val="16"/>
        </w:rPr>
      </w:pPr>
      <w:r w:rsidRPr="00595B35">
        <w:rPr>
          <w:rFonts w:ascii="Cambria Math" w:hAnsi="Cambria Math" w:cs="Cambria Math"/>
          <w:color w:val="202122"/>
          <w:sz w:val="16"/>
          <w:szCs w:val="16"/>
          <w:shd w:val="clear" w:color="auto" w:fill="FFFFFF"/>
        </w:rPr>
        <w:t>↪</w:t>
      </w:r>
    </w:p>
  </w:footnote>
  <w:footnote w:id="2">
    <w:p w14:paraId="28E5C162" w14:textId="7D5DCF9C" w:rsidR="00595B35" w:rsidRDefault="00595B35">
      <w:pPr>
        <w:pStyle w:val="Textonotapie"/>
      </w:pPr>
      <w:r>
        <w:rPr>
          <w:rStyle w:val="Refdenotaalpie"/>
        </w:rPr>
        <w:footnoteRef/>
      </w:r>
      <w:r>
        <w:t xml:space="preserve"> Estas normas que vinculan a gran cantidad de países en temas tan esenciales desde un punto de vista económico como la Contabilidad Nacional y las Balanzas de Pagos son de una gran utilidad pues garantizan la comparabilidad entre países (se hará referencia a las mismas a medida que se estudien las distintas fuentes).</w:t>
      </w:r>
    </w:p>
  </w:footnote>
  <w:footnote w:id="3">
    <w:p w14:paraId="099A0D7A" w14:textId="77777777" w:rsidR="00C25F16" w:rsidRDefault="00C25F16" w:rsidP="00C25F16">
      <w:pPr>
        <w:pStyle w:val="Textonotapie"/>
      </w:pPr>
      <w:r>
        <w:rPr>
          <w:rStyle w:val="Refdenotaalpie"/>
        </w:rPr>
        <w:footnoteRef/>
      </w:r>
      <w:r>
        <w:t xml:space="preserve"> </w:t>
      </w:r>
      <w:hyperlink r:id="rId1" w:history="1">
        <w:r w:rsidRPr="00365F50">
          <w:rPr>
            <w:rStyle w:val="Hipervnculo"/>
          </w:rPr>
          <w:t>https://www.boe.es/buscar/pdf/1978/BOE-A-1978-31229-consolidado.pdf</w:t>
        </w:r>
      </w:hyperlink>
    </w:p>
  </w:footnote>
  <w:footnote w:id="4">
    <w:p w14:paraId="69EE4CAB" w14:textId="371FCDEF" w:rsidR="005A62AD" w:rsidRDefault="005A62AD">
      <w:pPr>
        <w:pStyle w:val="Textonotapie"/>
      </w:pPr>
      <w:r>
        <w:rPr>
          <w:rStyle w:val="Refdenotaalpie"/>
        </w:rPr>
        <w:footnoteRef/>
      </w:r>
      <w:r>
        <w:t xml:space="preserve"> </w:t>
      </w:r>
      <w:hyperlink r:id="rId2" w:history="1">
        <w:r w:rsidRPr="001770CA">
          <w:rPr>
            <w:rStyle w:val="Hipervnculo"/>
          </w:rPr>
          <w:t>https://www.boe.es/eli/es/l/1989/05/09/12/dof/spa/pdf</w:t>
        </w:r>
      </w:hyperlink>
    </w:p>
  </w:footnote>
  <w:footnote w:id="5">
    <w:p w14:paraId="7528441F" w14:textId="31B0CB5E" w:rsidR="00140F55" w:rsidRDefault="00140F55">
      <w:pPr>
        <w:pStyle w:val="Textonotapie"/>
      </w:pPr>
      <w:r>
        <w:rPr>
          <w:rStyle w:val="Refdenotaalpie"/>
        </w:rPr>
        <w:footnoteRef/>
      </w:r>
      <w:r>
        <w:t xml:space="preserve"> Además, respecto a la difusión de la información estadística, la LFEP establece reglas que, respetando el secreto, permitan su incremento y potenciación. Así, en su artículo 20.1 establece que </w:t>
      </w:r>
      <w:r>
        <w:rPr>
          <w:i/>
          <w:iCs/>
        </w:rPr>
        <w:t xml:space="preserve">“los resultados de las estadísticas para fines estatales ser harán públicos por los servicios responsables de la elaboración de </w:t>
      </w:r>
      <w:proofErr w:type="gramStart"/>
      <w:r>
        <w:rPr>
          <w:i/>
          <w:iCs/>
        </w:rPr>
        <w:t>las mismas</w:t>
      </w:r>
      <w:proofErr w:type="gramEnd"/>
      <w:r>
        <w:rPr>
          <w:i/>
          <w:iCs/>
        </w:rPr>
        <w:t xml:space="preserve"> y habrán de ser ampliamente difundidos”</w:t>
      </w:r>
      <w:r>
        <w:t>.</w:t>
      </w:r>
    </w:p>
  </w:footnote>
  <w:footnote w:id="6">
    <w:p w14:paraId="4D8898F2" w14:textId="61A1E709" w:rsidR="00DD277B" w:rsidRDefault="00DD277B" w:rsidP="00DD277B">
      <w:pPr>
        <w:pStyle w:val="Textonotapie"/>
      </w:pPr>
      <w:r>
        <w:rPr>
          <w:rStyle w:val="Refdenotaalpie"/>
        </w:rPr>
        <w:footnoteRef/>
      </w:r>
      <w:r>
        <w:t xml:space="preserve"> Según la LFEP, la función estadística pública en el ámbito de la Administración del Estado se desarrolla por el INE; las unidades de los departamentos ministeriales y de cualesquiera otras entidades públicas de ella dependientes a las que se haya encomendado aquella función, y el Consejo Superior de Estadística. A estos deben añadirse también, los órganos: Comisión Interministerial de Estadística y Comité Interterritorial de Estadística. La estructura del sistema estadístico nacional se detalla en el punto siguiente.</w:t>
      </w:r>
    </w:p>
    <w:p w14:paraId="6CADEAAE" w14:textId="667219F0" w:rsidR="00DD277B" w:rsidRDefault="00DD277B" w:rsidP="00DD277B">
      <w:pPr>
        <w:pStyle w:val="Textonotapie"/>
      </w:pPr>
      <w:r>
        <w:t>Además se establece que las estadísticas cuya realización resulte obligatoria por exigencia comunitaria quedarán automáticamente incluidas en el PEN.</w:t>
      </w:r>
    </w:p>
  </w:footnote>
  <w:footnote w:id="7">
    <w:p w14:paraId="37995EF4" w14:textId="77777777" w:rsidR="00B1097B" w:rsidRPr="00B300A7" w:rsidRDefault="00B1097B" w:rsidP="004F6BAF">
      <w:pPr>
        <w:pStyle w:val="Textonotapie"/>
      </w:pPr>
      <w:r w:rsidRPr="00B300A7">
        <w:rPr>
          <w:rStyle w:val="Refdenotaalpie"/>
        </w:rPr>
        <w:footnoteRef/>
      </w:r>
      <w:r w:rsidRPr="00B300A7">
        <w:t xml:space="preserve"> Gestiona las relaciones con Eurostat y otros organismos estadísticos internacionales.</w:t>
      </w:r>
    </w:p>
  </w:footnote>
  <w:footnote w:id="8">
    <w:p w14:paraId="16B97308" w14:textId="77777777" w:rsidR="00030E31" w:rsidRDefault="00030E31" w:rsidP="00030E31">
      <w:pPr>
        <w:pStyle w:val="Textonotapie"/>
      </w:pPr>
      <w:r>
        <w:rPr>
          <w:rStyle w:val="Refdenotaalpie"/>
        </w:rPr>
        <w:footnoteRef/>
      </w:r>
      <w:r>
        <w:t xml:space="preserve"> Dentro de las operaciones estadísticas que realiza el INE cuyo objeto es la población cabe destacar las </w:t>
      </w:r>
      <w:r>
        <w:rPr>
          <w:i/>
          <w:iCs/>
        </w:rPr>
        <w:t>Cifras de población</w:t>
      </w:r>
      <w:r>
        <w:t>, que proporcionan una medición cuantitativa de la población residente en España por provincia según características demográficas básicas y sirven como cifras poblacionales de referencia en todas las operaciones estadísticas que realiza el INE y la Encuesta continua de hogares, que también proporciona información sobre los hogares y las viviendas.</w:t>
      </w:r>
    </w:p>
    <w:p w14:paraId="637EC548" w14:textId="77777777" w:rsidR="00030E31" w:rsidRPr="00E5799A" w:rsidRDefault="00030E31" w:rsidP="00030E31">
      <w:pPr>
        <w:pStyle w:val="Textonotapie"/>
      </w:pPr>
      <w:r>
        <w:t xml:space="preserve">Además, el INE realiza </w:t>
      </w:r>
      <w:r>
        <w:rPr>
          <w:i/>
          <w:iCs/>
        </w:rPr>
        <w:t>proyecciones de población</w:t>
      </w:r>
      <w:r>
        <w:t xml:space="preserve"> y de hogares. Las proyecciones de población proporcionan una simulación de la población que residiría en España desagregada según características demográficas básicas. El horizonte temporal de la proyección es de 50 años a nivel nacional y de 15 años para las comunidades autónomas y provincias y se publica cada 2 años. La proyección de hogares también se realiza cada 2 años con un horizonte de 15 años, proporcionando resultados coherentes con las proyecciones de población,</w:t>
      </w:r>
    </w:p>
  </w:footnote>
  <w:footnote w:id="9">
    <w:p w14:paraId="11635106" w14:textId="77777777" w:rsidR="00030E31" w:rsidRDefault="00030E31" w:rsidP="00030E31">
      <w:pPr>
        <w:pStyle w:val="Textonotapie"/>
      </w:pPr>
      <w:r>
        <w:rPr>
          <w:rStyle w:val="Refdenotaalpie"/>
        </w:rPr>
        <w:footnoteRef/>
      </w:r>
      <w:r>
        <w:t xml:space="preserve"> El censo electoral es el registro de quienes poseen el derecho de sufragio. Es un registro permanente que se actualiza mensualmente. El censo electoral vigente para una elección es el cerrado el día primero del segundo mes anterior al de la fecha de su convocatoria, con las inscripciones de quienes tengan la mayoría de edad el día de la votación.</w:t>
      </w:r>
    </w:p>
  </w:footnote>
  <w:footnote w:id="10">
    <w:p w14:paraId="550813E4" w14:textId="77777777" w:rsidR="00E16EB1" w:rsidRDefault="00E16EB1" w:rsidP="00E16EB1">
      <w:pPr>
        <w:pStyle w:val="Textonotapie"/>
      </w:pPr>
      <w:r>
        <w:rPr>
          <w:rStyle w:val="Refdenotaalpie"/>
        </w:rPr>
        <w:footnoteRef/>
      </w:r>
      <w:r>
        <w:t xml:space="preserve"> Encargada de verificar la legalidad, control financiero y control de subvenciones.</w:t>
      </w:r>
    </w:p>
  </w:footnote>
  <w:footnote w:id="11">
    <w:p w14:paraId="2209DADC" w14:textId="77777777" w:rsidR="00BC4281" w:rsidRDefault="00BC4281" w:rsidP="00BC4281">
      <w:pPr>
        <w:pStyle w:val="Textonotapie"/>
      </w:pPr>
      <w:r>
        <w:rPr>
          <w:rStyle w:val="Refdenotaalpie"/>
        </w:rPr>
        <w:footnoteRef/>
      </w:r>
      <w:r>
        <w:t xml:space="preserve"> </w:t>
      </w:r>
      <w:r w:rsidRPr="00BC4A5C">
        <w:rPr>
          <w:rFonts w:cs="Times New Roman"/>
        </w:rPr>
        <w:t>Eurostat ha elaborado una guía de recomendaciones metodológicas al respecto, en base a las cuales el INE estima las actividades ilegales más importantes en España: prostitución (0,35</w:t>
      </w:r>
      <w:r>
        <w:rPr>
          <w:rFonts w:cs="Times New Roman"/>
        </w:rPr>
        <w:t> </w:t>
      </w:r>
      <w:r w:rsidRPr="00BC4A5C">
        <w:rPr>
          <w:rFonts w:cs="Times New Roman"/>
        </w:rPr>
        <w:t>% del PIB), tráfico de drogas (0,5</w:t>
      </w:r>
      <w:r>
        <w:rPr>
          <w:rFonts w:cs="Times New Roman"/>
        </w:rPr>
        <w:t> </w:t>
      </w:r>
      <w:r w:rsidRPr="00BC4A5C">
        <w:rPr>
          <w:rFonts w:cs="Times New Roman"/>
        </w:rPr>
        <w:t>%), contrabando de tabaco y juego ilegal</w:t>
      </w:r>
      <w:r>
        <w:rPr>
          <w:rFonts w:cs="Times New Roman"/>
        </w:rPr>
        <w:t>.</w:t>
      </w:r>
    </w:p>
  </w:footnote>
  <w:footnote w:id="12">
    <w:p w14:paraId="54E12A6A" w14:textId="715F3D4E" w:rsidR="00DC6147" w:rsidRDefault="00DC6147" w:rsidP="00DC6147">
      <w:pPr>
        <w:pStyle w:val="Textonotapie"/>
        <w:keepNext/>
        <w:spacing w:after="0"/>
      </w:pPr>
      <w:r>
        <w:rPr>
          <w:rStyle w:val="Refdenotaalpie"/>
        </w:rPr>
        <w:footnoteRef/>
      </w:r>
      <w:r>
        <w:t xml:space="preserve"> Para ejemplificarlo, supongamos la siguiente situación.</w:t>
      </w:r>
    </w:p>
    <w:p w14:paraId="5D251845" w14:textId="58A13326" w:rsidR="00DC6147" w:rsidRDefault="00DC6147" w:rsidP="00DC6147">
      <w:pPr>
        <w:pStyle w:val="Textonotapie"/>
        <w:numPr>
          <w:ilvl w:val="0"/>
          <w:numId w:val="71"/>
        </w:numPr>
        <w:spacing w:after="0"/>
        <w:ind w:left="283" w:hanging="113"/>
      </w:pPr>
      <w:r>
        <w:t>El año 1, se producen 10 unidades del bien </w:t>
      </w:r>
      <w:r w:rsidRPr="00DC6147">
        <w:rPr>
          <w:i/>
          <w:iCs/>
        </w:rPr>
        <w:t>X</w:t>
      </w:r>
      <w:r>
        <w:t xml:space="preserve"> a 1 € cada una, y 5 unidades del bien </w:t>
      </w:r>
      <w:r w:rsidRPr="00DC6147">
        <w:rPr>
          <w:i/>
          <w:iCs/>
        </w:rPr>
        <w:t>Y</w:t>
      </w:r>
      <w:r>
        <w:t xml:space="preserve"> a 2 € cada una.</w:t>
      </w:r>
    </w:p>
    <w:p w14:paraId="73210141" w14:textId="5B56CC19" w:rsidR="00DC6147" w:rsidRDefault="00DC6147" w:rsidP="00DC6147">
      <w:pPr>
        <w:pStyle w:val="Textonotapie"/>
        <w:numPr>
          <w:ilvl w:val="0"/>
          <w:numId w:val="71"/>
        </w:numPr>
        <w:spacing w:after="0"/>
        <w:ind w:left="283" w:hanging="113"/>
      </w:pPr>
      <w:r>
        <w:t>El año 2, se producen 15 unidades del bien </w:t>
      </w:r>
      <w:r w:rsidRPr="00DC6147">
        <w:rPr>
          <w:i/>
          <w:iCs/>
        </w:rPr>
        <w:t>X</w:t>
      </w:r>
      <w:r>
        <w:t xml:space="preserve"> a 1 € cada una, y 5 unidades del bien </w:t>
      </w:r>
      <w:r w:rsidRPr="00DC6147">
        <w:rPr>
          <w:i/>
          <w:iCs/>
        </w:rPr>
        <w:t>Y</w:t>
      </w:r>
      <w:r>
        <w:t xml:space="preserve"> a 3 € cada una.</w:t>
      </w:r>
    </w:p>
    <w:p w14:paraId="543A13EC" w14:textId="6627DD12" w:rsidR="00DC6147" w:rsidRDefault="00DC6147" w:rsidP="00DC6147">
      <w:pPr>
        <w:pStyle w:val="Textonotapie"/>
        <w:keepNext/>
        <w:spacing w:after="0"/>
      </w:pPr>
      <w:r>
        <w:t>Si tomamos el año 1 como año base:</w:t>
      </w:r>
    </w:p>
    <w:p w14:paraId="531B2192" w14:textId="463AEDAF" w:rsidR="00DC6147" w:rsidRDefault="00DC6147" w:rsidP="00DC6147">
      <w:pPr>
        <w:pStyle w:val="Textonotapie"/>
        <w:numPr>
          <w:ilvl w:val="0"/>
          <w:numId w:val="71"/>
        </w:numPr>
        <w:spacing w:after="0"/>
        <w:ind w:left="283" w:hanging="113"/>
      </w:pPr>
      <w:r>
        <w:t>PIB real del periodo 1 = 10·1 + 5·2 = 20.</w:t>
      </w:r>
    </w:p>
    <w:p w14:paraId="3B30AF41" w14:textId="3E5AA4CD" w:rsidR="00DC6147" w:rsidRDefault="00DC6147" w:rsidP="00960C5D">
      <w:pPr>
        <w:pStyle w:val="Textonotapie"/>
        <w:keepNext/>
        <w:numPr>
          <w:ilvl w:val="0"/>
          <w:numId w:val="71"/>
        </w:numPr>
        <w:spacing w:after="0"/>
        <w:ind w:left="283" w:hanging="113"/>
      </w:pPr>
      <w:r>
        <w:t>PIB real del periodo 2 = 15·1 + 5·2 = 25.</w:t>
      </w:r>
    </w:p>
    <w:p w14:paraId="055FA0EC" w14:textId="3671147B" w:rsidR="00DC6147" w:rsidRDefault="00DC6147" w:rsidP="00960C5D">
      <w:pPr>
        <w:pStyle w:val="Textonotapie"/>
        <w:numPr>
          <w:ilvl w:val="1"/>
          <w:numId w:val="71"/>
        </w:numPr>
        <w:spacing w:after="0"/>
        <w:ind w:left="567" w:hanging="113"/>
      </w:pPr>
      <w:r>
        <w:t>Tasa de crecimiento del PIB real = (25-20)/20 = 25 %.</w:t>
      </w:r>
    </w:p>
    <w:p w14:paraId="40AD3495" w14:textId="3E2E3FB5" w:rsidR="00DC6147" w:rsidRDefault="00DC6147" w:rsidP="00DC6147">
      <w:pPr>
        <w:pStyle w:val="Textonotapie"/>
        <w:keepNext/>
        <w:spacing w:after="0"/>
      </w:pPr>
      <w:r>
        <w:t>Si tomamos el año 2 como año base:</w:t>
      </w:r>
    </w:p>
    <w:p w14:paraId="4FC71078" w14:textId="77B3F73C" w:rsidR="00DC6147" w:rsidRDefault="00DC6147" w:rsidP="00DC6147">
      <w:pPr>
        <w:pStyle w:val="Textonotapie"/>
        <w:numPr>
          <w:ilvl w:val="0"/>
          <w:numId w:val="71"/>
        </w:numPr>
        <w:spacing w:after="0"/>
        <w:ind w:left="283" w:hanging="113"/>
      </w:pPr>
      <w:r>
        <w:t>PIB real del periodo</w:t>
      </w:r>
      <w:r w:rsidR="00EA4CA7">
        <w:t> </w:t>
      </w:r>
      <w:r>
        <w:t>1 = 10·1 + 5·3 = 25.</w:t>
      </w:r>
    </w:p>
    <w:p w14:paraId="22CFAB5B" w14:textId="480FE410" w:rsidR="00DC6147" w:rsidRDefault="00DC6147" w:rsidP="00960C5D">
      <w:pPr>
        <w:pStyle w:val="Textonotapie"/>
        <w:keepNext/>
        <w:numPr>
          <w:ilvl w:val="0"/>
          <w:numId w:val="71"/>
        </w:numPr>
        <w:spacing w:after="0"/>
        <w:ind w:left="283" w:hanging="113"/>
      </w:pPr>
      <w:r>
        <w:t>PIB real del periodo</w:t>
      </w:r>
      <w:r w:rsidR="00EA4CA7">
        <w:t> </w:t>
      </w:r>
      <w:r>
        <w:t>2 = 15·1 + 5·3 = 30.</w:t>
      </w:r>
    </w:p>
    <w:p w14:paraId="4B30DB3F" w14:textId="4E20A033" w:rsidR="00DC6147" w:rsidRDefault="00DC6147" w:rsidP="00960C5D">
      <w:pPr>
        <w:pStyle w:val="Textonotapie"/>
        <w:numPr>
          <w:ilvl w:val="1"/>
          <w:numId w:val="71"/>
        </w:numPr>
        <w:ind w:left="567" w:hanging="113"/>
      </w:pPr>
      <w:r>
        <w:t>Tasa de crecimiento del PIB real = (30-25)/25 = 20</w:t>
      </w:r>
      <w:r w:rsidR="00EA4CA7">
        <w:t> </w:t>
      </w:r>
      <w:r>
        <w:t>%.</w:t>
      </w:r>
    </w:p>
  </w:footnote>
  <w:footnote w:id="13">
    <w:p w14:paraId="6F1DF61F" w14:textId="77777777" w:rsidR="00BC4281" w:rsidRDefault="00BC4281" w:rsidP="00BC4281">
      <w:pPr>
        <w:pStyle w:val="Textonotapie"/>
      </w:pPr>
      <w:r>
        <w:rPr>
          <w:rStyle w:val="Refdenotaalpie"/>
        </w:rPr>
        <w:footnoteRef/>
      </w:r>
      <w:r>
        <w:t xml:space="preserve"> Se publican transcurridos 60 días desde el fin del trimestre al que hacen referencia, si bien se publica una estimación avance de crecimiento del PIB a los 30 días del fin del trimestre. En la práctica, las limitaciones en cuanto a la disponibilidad de datos, tiempo y recursos hacen que las cuentas nacionales trimestrales no sean tan completas como las cuentas nacionales anuales y que además, en general, se encuentren sujetas a mayores revisiones según se va completando la información disponible.</w:t>
      </w:r>
    </w:p>
  </w:footnote>
  <w:footnote w:id="14">
    <w:p w14:paraId="028537CE" w14:textId="13E173B0" w:rsidR="005A46A0" w:rsidRPr="005A46A0" w:rsidRDefault="00AB58A7" w:rsidP="005A46A0">
      <w:pPr>
        <w:pStyle w:val="Textonotapie"/>
        <w:keepNext/>
        <w:spacing w:after="0"/>
        <w:rPr>
          <w:rFonts w:eastAsiaTheme="minorEastAsia" w:cs="Times New Roman"/>
          <w:iCs/>
        </w:rPr>
      </w:pPr>
      <w:r w:rsidRPr="00B300A7">
        <w:rPr>
          <w:rStyle w:val="Refdenotaalpie"/>
          <w:rFonts w:cs="Times New Roman"/>
          <w:sz w:val="20"/>
        </w:rPr>
        <w:footnoteRef/>
      </w:r>
      <w:r w:rsidR="005A46A0" w:rsidRPr="005A46A0">
        <w:rPr>
          <w:rFonts w:eastAsiaTheme="minorEastAsia" w:cs="Times New Roman"/>
          <w:iCs/>
        </w:rPr>
        <w:t xml:space="preserve"> El </w:t>
      </w:r>
      <w:r w:rsidR="005A46A0">
        <w:rPr>
          <w:rFonts w:eastAsiaTheme="minorEastAsia" w:cs="Times New Roman"/>
          <w:iCs/>
        </w:rPr>
        <w:t>Índice de Producción Industrial</w:t>
      </w:r>
      <w:r w:rsidR="005A46A0" w:rsidRPr="005A46A0">
        <w:rPr>
          <w:rFonts w:eastAsiaTheme="minorEastAsia" w:cs="Times New Roman"/>
          <w:iCs/>
        </w:rPr>
        <w:t xml:space="preserve"> puede se</w:t>
      </w:r>
      <w:r w:rsidR="005A46A0">
        <w:rPr>
          <w:rFonts w:eastAsiaTheme="minorEastAsia" w:cs="Times New Roman"/>
          <w:iCs/>
        </w:rPr>
        <w:t>r calculado como:</w:t>
      </w:r>
    </w:p>
    <w:p w14:paraId="06F89A1D" w14:textId="77777777" w:rsidR="005A46A0" w:rsidRDefault="00000000" w:rsidP="005A46A0">
      <w:pPr>
        <w:pStyle w:val="Textonotapie"/>
        <w:keepNext/>
        <w:spacing w:after="0"/>
        <w:rPr>
          <w:bCs/>
          <w:lang w:val="en-US"/>
        </w:rPr>
      </w:pPr>
      <m:oMathPara>
        <m:oMath>
          <m:sSub>
            <m:sSubPr>
              <m:ctrlPr>
                <w:rPr>
                  <w:rFonts w:ascii="Cambria Math" w:hAnsi="Cambria Math"/>
                  <w:bCs/>
                  <w:i/>
                  <w:iCs/>
                </w:rPr>
              </m:ctrlPr>
            </m:sSubPr>
            <m:e>
              <m:r>
                <m:rPr>
                  <m:nor/>
                </m:rPr>
                <w:rPr>
                  <w:i/>
                  <w:iCs/>
                  <w:lang w:val="en-US"/>
                </w:rPr>
                <m:t>IPI</m:t>
              </m:r>
            </m:e>
            <m:sub>
              <m:r>
                <m:rPr>
                  <m:nor/>
                </m:rPr>
                <w:rPr>
                  <w:i/>
                  <w:iCs/>
                  <w:lang w:val="en-US"/>
                </w:rPr>
                <m:t>t</m:t>
              </m:r>
            </m:sub>
          </m:sSub>
          <m:r>
            <m:rPr>
              <m:nor/>
            </m:rPr>
            <w:rPr>
              <w:i/>
              <w:iCs/>
              <w:lang w:val="en-US"/>
            </w:rPr>
            <m:t>=</m:t>
          </m:r>
          <m:nary>
            <m:naryPr>
              <m:chr m:val="∑"/>
              <m:limLoc m:val="undOvr"/>
              <m:ctrlPr>
                <w:rPr>
                  <w:rFonts w:ascii="Cambria Math" w:hAnsi="Cambria Math"/>
                  <w:bCs/>
                  <w:i/>
                  <w:iCs/>
                </w:rPr>
              </m:ctrlPr>
            </m:naryPr>
            <m:sub>
              <w:proofErr w:type="spellStart"/>
              <m:r>
                <m:rPr>
                  <m:nor/>
                </m:rPr>
                <w:rPr>
                  <w:i/>
                  <w:iCs/>
                  <w:lang w:val="en-US"/>
                </w:rPr>
                <m:t>i</m:t>
              </m:r>
              <w:proofErr w:type="spellEnd"/>
              <m:r>
                <m:rPr>
                  <m:nor/>
                </m:rPr>
                <w:rPr>
                  <w:i/>
                  <w:iCs/>
                  <w:lang w:val="en-US"/>
                </w:rPr>
                <m:t>=1</m:t>
              </m:r>
            </m:sub>
            <m:sup>
              <m:r>
                <m:rPr>
                  <m:nor/>
                </m:rPr>
                <w:rPr>
                  <w:i/>
                  <w:iCs/>
                  <w:lang w:val="en-US"/>
                </w:rPr>
                <m:t>n</m:t>
              </m:r>
            </m:sup>
            <m:e>
              <m:sSub>
                <m:sSubPr>
                  <m:ctrlPr>
                    <w:rPr>
                      <w:rFonts w:ascii="Cambria Math" w:hAnsi="Cambria Math"/>
                      <w:bCs/>
                      <w:i/>
                      <w:iCs/>
                    </w:rPr>
                  </m:ctrlPr>
                </m:sSubPr>
                <m:e>
                  <m:r>
                    <m:rPr>
                      <m:nor/>
                    </m:rPr>
                    <w:rPr>
                      <w:i/>
                      <w:iCs/>
                      <w:lang w:val="en-US"/>
                    </w:rPr>
                    <m:t>w</m:t>
                  </m:r>
                </m:e>
                <m:sub>
                  <m:r>
                    <m:rPr>
                      <m:nor/>
                    </m:rPr>
                    <w:rPr>
                      <w:i/>
                      <w:iCs/>
                      <w:lang w:val="en-US"/>
                    </w:rPr>
                    <m:t>i,2010</m:t>
                  </m:r>
                </m:sub>
              </m:sSub>
              <m:r>
                <m:rPr>
                  <m:nor/>
                </m:rPr>
                <w:rPr>
                  <w:i/>
                  <w:iCs/>
                  <w:lang w:val="en-US"/>
                </w:rPr>
                <m:t>∙</m:t>
              </m:r>
              <m:f>
                <m:fPr>
                  <m:ctrlPr>
                    <w:rPr>
                      <w:rFonts w:ascii="Cambria Math" w:hAnsi="Cambria Math"/>
                      <w:bCs/>
                      <w:i/>
                      <w:iCs/>
                      <w:lang w:val="en-US"/>
                    </w:rPr>
                  </m:ctrlPr>
                </m:fPr>
                <m:num>
                  <m:sSub>
                    <m:sSubPr>
                      <m:ctrlPr>
                        <w:rPr>
                          <w:rFonts w:ascii="Cambria Math" w:hAnsi="Cambria Math"/>
                          <w:bCs/>
                          <w:i/>
                          <w:iCs/>
                          <w:lang w:val="en-US"/>
                        </w:rPr>
                      </m:ctrlPr>
                    </m:sSubPr>
                    <m:e>
                      <m:r>
                        <m:rPr>
                          <m:nor/>
                        </m:rPr>
                        <w:rPr>
                          <w:i/>
                          <w:iCs/>
                          <w:lang w:val="en-US"/>
                        </w:rPr>
                        <m:t>Q</m:t>
                      </m:r>
                    </m:e>
                    <m:sub>
                      <w:proofErr w:type="spellStart"/>
                      <m:r>
                        <m:rPr>
                          <m:nor/>
                        </m:rPr>
                        <w:rPr>
                          <w:i/>
                          <w:iCs/>
                          <w:lang w:val="en-US"/>
                        </w:rPr>
                        <m:t>i,t</m:t>
                      </m:r>
                      <w:proofErr w:type="spellEnd"/>
                    </m:sub>
                  </m:sSub>
                  <m:r>
                    <w:rPr>
                      <w:rFonts w:ascii="Cambria Math" w:hAnsi="Cambria Math"/>
                      <w:lang w:val="en-US"/>
                    </w:rPr>
                    <m:t>∙</m:t>
                  </m:r>
                  <m:sSub>
                    <m:sSubPr>
                      <m:ctrlPr>
                        <w:rPr>
                          <w:rFonts w:ascii="Cambria Math" w:hAnsi="Cambria Math"/>
                          <w:bCs/>
                          <w:i/>
                          <w:iCs/>
                          <w:lang w:val="en-US"/>
                        </w:rPr>
                      </m:ctrlPr>
                    </m:sSubPr>
                    <m:e>
                      <m:r>
                        <m:rPr>
                          <m:nor/>
                        </m:rPr>
                        <w:rPr>
                          <w:i/>
                          <w:iCs/>
                          <w:lang w:val="en-US"/>
                        </w:rPr>
                        <m:t>p</m:t>
                      </m:r>
                    </m:e>
                    <m:sub>
                      <m:r>
                        <m:rPr>
                          <m:nor/>
                        </m:rPr>
                        <w:rPr>
                          <w:i/>
                          <w:iCs/>
                          <w:lang w:val="en-US"/>
                        </w:rPr>
                        <m:t>i,2010</m:t>
                      </m:r>
                    </m:sub>
                  </m:sSub>
                  <m:r>
                    <w:rPr>
                      <w:rFonts w:ascii="Cambria Math" w:hAnsi="Cambria Math"/>
                      <w:lang w:val="en-US"/>
                    </w:rPr>
                    <m:t>-</m:t>
                  </m:r>
                  <m:nary>
                    <m:naryPr>
                      <m:chr m:val="∑"/>
                      <m:limLoc m:val="undOvr"/>
                      <m:ctrlPr>
                        <w:rPr>
                          <w:rFonts w:ascii="Cambria Math" w:hAnsi="Cambria Math"/>
                          <w:bCs/>
                          <w:i/>
                          <w:iCs/>
                          <w:lang w:val="en-US"/>
                        </w:rPr>
                      </m:ctrlPr>
                    </m:naryPr>
                    <m:sub>
                      <m:r>
                        <m:rPr>
                          <m:nor/>
                        </m:rPr>
                        <w:rPr>
                          <w:i/>
                          <w:iCs/>
                          <w:lang w:val="en-US"/>
                        </w:rPr>
                        <m:t>j</m:t>
                      </m:r>
                      <m:r>
                        <w:rPr>
                          <w:rFonts w:ascii="Cambria Math" w:hAnsi="Cambria Math"/>
                          <w:lang w:val="en-US"/>
                        </w:rPr>
                        <m:t>=</m:t>
                      </m:r>
                      <m:r>
                        <m:rPr>
                          <m:nor/>
                        </m:rPr>
                        <w:rPr>
                          <w:i/>
                          <w:iCs/>
                          <w:lang w:val="en-US"/>
                        </w:rPr>
                        <m:t>1</m:t>
                      </m:r>
                    </m:sub>
                    <m:sup>
                      <m:sSub>
                        <m:sSubPr>
                          <m:ctrlPr>
                            <w:rPr>
                              <w:rFonts w:ascii="Cambria Math" w:hAnsi="Cambria Math"/>
                              <w:bCs/>
                              <w:i/>
                              <w:iCs/>
                              <w:lang w:val="en-US"/>
                            </w:rPr>
                          </m:ctrlPr>
                        </m:sSubPr>
                        <m:e>
                          <m:r>
                            <m:rPr>
                              <m:nor/>
                            </m:rPr>
                            <w:rPr>
                              <w:i/>
                              <w:iCs/>
                              <w:lang w:val="en-US"/>
                            </w:rPr>
                            <m:t>M</m:t>
                          </m:r>
                        </m:e>
                        <m:sub>
                          <m:r>
                            <m:rPr>
                              <m:nor/>
                            </m:rPr>
                            <w:rPr>
                              <w:i/>
                              <w:iCs/>
                              <w:lang w:val="en-US"/>
                            </w:rPr>
                            <m:t>t</m:t>
                          </m:r>
                        </m:sub>
                      </m:sSub>
                    </m:sup>
                    <m:e>
                      <m:sSub>
                        <m:sSubPr>
                          <m:ctrlPr>
                            <w:rPr>
                              <w:rFonts w:ascii="Cambria Math" w:hAnsi="Cambria Math"/>
                              <w:bCs/>
                              <w:i/>
                              <w:iCs/>
                              <w:lang w:val="en-US"/>
                            </w:rPr>
                          </m:ctrlPr>
                        </m:sSubPr>
                        <m:e>
                          <m:r>
                            <m:rPr>
                              <m:nor/>
                            </m:rPr>
                            <w:rPr>
                              <w:i/>
                              <w:iCs/>
                              <w:lang w:val="en-US"/>
                            </w:rPr>
                            <m:t>d</m:t>
                          </m:r>
                        </m:e>
                        <m:sub>
                          <w:proofErr w:type="spellStart"/>
                          <m:r>
                            <m:rPr>
                              <m:nor/>
                            </m:rPr>
                            <w:rPr>
                              <w:i/>
                              <w:iCs/>
                              <w:lang w:val="en-US"/>
                            </w:rPr>
                            <m:t>j,t</m:t>
                          </m:r>
                          <w:proofErr w:type="spellEnd"/>
                        </m:sub>
                      </m:sSub>
                      <m:r>
                        <w:rPr>
                          <w:rFonts w:ascii="Cambria Math" w:hAnsi="Cambria Math"/>
                          <w:lang w:val="en-US"/>
                        </w:rPr>
                        <m:t>∙</m:t>
                      </m:r>
                      <m:sSub>
                        <m:sSubPr>
                          <m:ctrlPr>
                            <w:rPr>
                              <w:rFonts w:ascii="Cambria Math" w:hAnsi="Cambria Math"/>
                              <w:bCs/>
                              <w:i/>
                              <w:iCs/>
                              <w:lang w:val="en-US"/>
                            </w:rPr>
                          </m:ctrlPr>
                        </m:sSubPr>
                        <m:e>
                          <m:r>
                            <m:rPr>
                              <m:nor/>
                            </m:rPr>
                            <w:rPr>
                              <w:i/>
                              <w:iCs/>
                              <w:lang w:val="en-US"/>
                            </w:rPr>
                            <m:t>a</m:t>
                          </m:r>
                        </m:e>
                        <m:sub>
                          <m:r>
                            <m:rPr>
                              <m:nor/>
                            </m:rPr>
                            <w:rPr>
                              <w:i/>
                              <w:iCs/>
                              <w:lang w:val="en-US"/>
                            </w:rPr>
                            <m:t>j,2010</m:t>
                          </m:r>
                        </m:sub>
                      </m:sSub>
                    </m:e>
                  </m:nary>
                </m:num>
                <m:den>
                  <m:sSub>
                    <m:sSubPr>
                      <m:ctrlPr>
                        <w:rPr>
                          <w:rFonts w:ascii="Cambria Math" w:hAnsi="Cambria Math"/>
                          <w:bCs/>
                          <w:i/>
                          <w:iCs/>
                          <w:lang w:val="en-US"/>
                        </w:rPr>
                      </m:ctrlPr>
                    </m:sSubPr>
                    <m:e>
                      <m:r>
                        <m:rPr>
                          <m:nor/>
                        </m:rPr>
                        <w:rPr>
                          <w:i/>
                          <w:iCs/>
                          <w:lang w:val="en-US"/>
                        </w:rPr>
                        <m:t>Q</m:t>
                      </m:r>
                    </m:e>
                    <m:sub>
                      <m:r>
                        <m:rPr>
                          <m:nor/>
                        </m:rPr>
                        <w:rPr>
                          <w:i/>
                          <w:iCs/>
                          <w:lang w:val="en-US"/>
                        </w:rPr>
                        <m:t>i,2010</m:t>
                      </m:r>
                    </m:sub>
                  </m:sSub>
                  <m:r>
                    <w:rPr>
                      <w:rFonts w:ascii="Cambria Math" w:hAnsi="Cambria Math"/>
                      <w:lang w:val="en-US"/>
                    </w:rPr>
                    <m:t>∙</m:t>
                  </m:r>
                  <m:sSub>
                    <m:sSubPr>
                      <m:ctrlPr>
                        <w:rPr>
                          <w:rFonts w:ascii="Cambria Math" w:hAnsi="Cambria Math"/>
                          <w:bCs/>
                          <w:i/>
                          <w:iCs/>
                          <w:lang w:val="en-US"/>
                        </w:rPr>
                      </m:ctrlPr>
                    </m:sSubPr>
                    <m:e>
                      <m:r>
                        <m:rPr>
                          <m:nor/>
                        </m:rPr>
                        <w:rPr>
                          <w:i/>
                          <w:iCs/>
                          <w:lang w:val="en-US"/>
                        </w:rPr>
                        <m:t>p</m:t>
                      </m:r>
                    </m:e>
                    <m:sub>
                      <m:r>
                        <m:rPr>
                          <m:nor/>
                        </m:rPr>
                        <w:rPr>
                          <w:i/>
                          <w:iCs/>
                          <w:lang w:val="en-US"/>
                        </w:rPr>
                        <m:t>i,2010</m:t>
                      </m:r>
                    </m:sub>
                  </m:sSub>
                  <m:r>
                    <w:rPr>
                      <w:rFonts w:ascii="Cambria Math" w:hAnsi="Cambria Math"/>
                      <w:lang w:val="en-US"/>
                    </w:rPr>
                    <m:t>-</m:t>
                  </m:r>
                  <m:nary>
                    <m:naryPr>
                      <m:chr m:val="∑"/>
                      <m:limLoc m:val="undOvr"/>
                      <m:ctrlPr>
                        <w:rPr>
                          <w:rFonts w:ascii="Cambria Math" w:hAnsi="Cambria Math"/>
                          <w:bCs/>
                          <w:i/>
                          <w:iCs/>
                          <w:lang w:val="en-US"/>
                        </w:rPr>
                      </m:ctrlPr>
                    </m:naryPr>
                    <m:sub>
                      <m:r>
                        <m:rPr>
                          <m:nor/>
                        </m:rPr>
                        <w:rPr>
                          <w:i/>
                          <w:iCs/>
                          <w:lang w:val="en-US"/>
                        </w:rPr>
                        <m:t>j</m:t>
                      </m:r>
                      <m:r>
                        <w:rPr>
                          <w:rFonts w:ascii="Cambria Math" w:hAnsi="Cambria Math"/>
                          <w:lang w:val="en-US"/>
                        </w:rPr>
                        <m:t>=</m:t>
                      </m:r>
                      <m:r>
                        <m:rPr>
                          <m:nor/>
                        </m:rPr>
                        <w:rPr>
                          <w:i/>
                          <w:iCs/>
                          <w:lang w:val="en-US"/>
                        </w:rPr>
                        <m:t>1</m:t>
                      </m:r>
                    </m:sub>
                    <m:sup>
                      <m:sSub>
                        <m:sSubPr>
                          <m:ctrlPr>
                            <w:rPr>
                              <w:rFonts w:ascii="Cambria Math" w:hAnsi="Cambria Math"/>
                              <w:bCs/>
                              <w:i/>
                              <w:iCs/>
                              <w:lang w:val="en-US"/>
                            </w:rPr>
                          </m:ctrlPr>
                        </m:sSubPr>
                        <m:e>
                          <m:r>
                            <m:rPr>
                              <m:nor/>
                            </m:rPr>
                            <w:rPr>
                              <w:i/>
                              <w:iCs/>
                              <w:lang w:val="en-US"/>
                            </w:rPr>
                            <m:t>M</m:t>
                          </m:r>
                        </m:e>
                        <m:sub>
                          <m:r>
                            <m:rPr>
                              <m:nor/>
                            </m:rPr>
                            <w:rPr>
                              <w:i/>
                              <w:iCs/>
                              <w:lang w:val="en-US"/>
                            </w:rPr>
                            <m:t>2010</m:t>
                          </m:r>
                        </m:sub>
                      </m:sSub>
                    </m:sup>
                    <m:e>
                      <m:sSub>
                        <m:sSubPr>
                          <m:ctrlPr>
                            <w:rPr>
                              <w:rFonts w:ascii="Cambria Math" w:hAnsi="Cambria Math"/>
                              <w:bCs/>
                              <w:i/>
                              <w:iCs/>
                              <w:lang w:val="en-US"/>
                            </w:rPr>
                          </m:ctrlPr>
                        </m:sSubPr>
                        <m:e>
                          <m:r>
                            <m:rPr>
                              <m:nor/>
                            </m:rPr>
                            <w:rPr>
                              <w:i/>
                              <w:iCs/>
                              <w:lang w:val="en-US"/>
                            </w:rPr>
                            <m:t>d</m:t>
                          </m:r>
                        </m:e>
                        <m:sub>
                          <m:r>
                            <m:rPr>
                              <m:nor/>
                            </m:rPr>
                            <w:rPr>
                              <w:i/>
                              <w:iCs/>
                              <w:lang w:val="en-US"/>
                            </w:rPr>
                            <m:t>j,2010</m:t>
                          </m:r>
                        </m:sub>
                      </m:sSub>
                      <m:r>
                        <w:rPr>
                          <w:rFonts w:ascii="Cambria Math" w:hAnsi="Cambria Math"/>
                          <w:lang w:val="en-US"/>
                        </w:rPr>
                        <m:t>∙</m:t>
                      </m:r>
                      <m:sSub>
                        <m:sSubPr>
                          <m:ctrlPr>
                            <w:rPr>
                              <w:rFonts w:ascii="Cambria Math" w:hAnsi="Cambria Math"/>
                              <w:bCs/>
                              <w:i/>
                              <w:iCs/>
                              <w:lang w:val="en-US"/>
                            </w:rPr>
                          </m:ctrlPr>
                        </m:sSubPr>
                        <m:e>
                          <m:r>
                            <m:rPr>
                              <m:nor/>
                            </m:rPr>
                            <w:rPr>
                              <w:i/>
                              <w:iCs/>
                              <w:lang w:val="en-US"/>
                            </w:rPr>
                            <m:t>a</m:t>
                          </m:r>
                        </m:e>
                        <m:sub>
                          <m:r>
                            <m:rPr>
                              <m:nor/>
                            </m:rPr>
                            <w:rPr>
                              <w:i/>
                              <w:iCs/>
                              <w:lang w:val="en-US"/>
                            </w:rPr>
                            <m:t>j,2010</m:t>
                          </m:r>
                        </m:sub>
                      </m:sSub>
                    </m:e>
                  </m:nary>
                </m:den>
              </m:f>
            </m:e>
          </m:nary>
        </m:oMath>
      </m:oMathPara>
    </w:p>
    <w:p w14:paraId="0393BE6D" w14:textId="454519B9" w:rsidR="00AB58A7" w:rsidRPr="00AB58A7" w:rsidRDefault="00AB58A7" w:rsidP="00AB58A7">
      <w:pPr>
        <w:pStyle w:val="Textonotapie"/>
        <w:keepNext/>
        <w:spacing w:after="0"/>
        <w:rPr>
          <w:bCs/>
          <w:lang w:val="en-US"/>
        </w:rPr>
      </w:pPr>
      <w:proofErr w:type="spellStart"/>
      <w:r w:rsidRPr="00AB58A7">
        <w:rPr>
          <w:bCs/>
          <w:lang w:val="en-US"/>
        </w:rPr>
        <w:t>donde</w:t>
      </w:r>
      <w:proofErr w:type="spellEnd"/>
      <w:r w:rsidRPr="00AB58A7">
        <w:rPr>
          <w:bCs/>
          <w:lang w:val="en-US"/>
        </w:rPr>
        <w:t>:</w:t>
      </w:r>
    </w:p>
    <w:p w14:paraId="55FD107F" w14:textId="77777777" w:rsidR="00AB58A7" w:rsidRPr="00B300A7" w:rsidRDefault="00AB58A7" w:rsidP="00AB58A7">
      <w:pPr>
        <w:pStyle w:val="Textonotapie"/>
        <w:numPr>
          <w:ilvl w:val="0"/>
          <w:numId w:val="56"/>
        </w:numPr>
        <w:spacing w:after="0"/>
        <w:ind w:left="283" w:hanging="113"/>
      </w:pPr>
      <w:r w:rsidRPr="00AB58A7">
        <w:rPr>
          <w:bCs/>
          <w:i/>
          <w:iCs/>
        </w:rPr>
        <w:t>w</w:t>
      </w:r>
      <w:r w:rsidRPr="00B300A7">
        <w:t xml:space="preserve"> : peso de cada producto/rama en el índice en el periodo base;</w:t>
      </w:r>
    </w:p>
    <w:p w14:paraId="686EBB1D" w14:textId="79A2E620" w:rsidR="00AB58A7" w:rsidRPr="00B300A7" w:rsidRDefault="00AB58A7" w:rsidP="00AB58A7">
      <w:pPr>
        <w:pStyle w:val="Textonotapie"/>
        <w:numPr>
          <w:ilvl w:val="0"/>
          <w:numId w:val="56"/>
        </w:numPr>
        <w:spacing w:after="0"/>
        <w:ind w:left="283" w:hanging="113"/>
      </w:pPr>
      <w:r w:rsidRPr="00AB58A7">
        <w:rPr>
          <w:bCs/>
          <w:i/>
          <w:iCs/>
        </w:rPr>
        <w:t>Q</w:t>
      </w:r>
      <w:r w:rsidRPr="00B300A7">
        <w:rPr>
          <w:bCs/>
        </w:rPr>
        <w:t>:</w:t>
      </w:r>
      <w:r w:rsidRPr="00B300A7">
        <w:t xml:space="preserve"> cantidades, en el periodo</w:t>
      </w:r>
      <w:r w:rsidR="00E75E98">
        <w:t> </w:t>
      </w:r>
      <w:r w:rsidRPr="00E75E98">
        <w:rPr>
          <w:i/>
          <w:iCs/>
        </w:rPr>
        <w:t>t</w:t>
      </w:r>
      <w:r w:rsidRPr="00B300A7">
        <w:t xml:space="preserve"> y en el periodo base;</w:t>
      </w:r>
    </w:p>
    <w:p w14:paraId="7B0D45B6" w14:textId="77777777" w:rsidR="00AB58A7" w:rsidRPr="00B300A7" w:rsidRDefault="00AB58A7" w:rsidP="00AB58A7">
      <w:pPr>
        <w:pStyle w:val="Textonotapie"/>
        <w:numPr>
          <w:ilvl w:val="0"/>
          <w:numId w:val="56"/>
        </w:numPr>
        <w:spacing w:after="0"/>
        <w:ind w:left="283" w:hanging="113"/>
      </w:pPr>
      <w:r w:rsidRPr="00AB58A7">
        <w:rPr>
          <w:bCs/>
          <w:i/>
          <w:iCs/>
        </w:rPr>
        <w:t>I</w:t>
      </w:r>
      <w:r w:rsidRPr="00B300A7">
        <w:t>: subíndice correspondiente al producto o la rama;</w:t>
      </w:r>
    </w:p>
    <w:p w14:paraId="473852D3" w14:textId="77777777" w:rsidR="00AB58A7" w:rsidRDefault="00AB58A7" w:rsidP="00E75E98">
      <w:pPr>
        <w:pStyle w:val="Textonotapie"/>
        <w:numPr>
          <w:ilvl w:val="0"/>
          <w:numId w:val="56"/>
        </w:numPr>
        <w:spacing w:after="0"/>
        <w:ind w:left="283" w:hanging="113"/>
      </w:pPr>
      <w:r w:rsidRPr="00AB58A7">
        <w:rPr>
          <w:i/>
          <w:iCs/>
        </w:rPr>
        <w:t>N</w:t>
      </w:r>
      <w:r w:rsidRPr="00B300A7">
        <w:t>: número de productos/ramas considerados.</w:t>
      </w:r>
    </w:p>
    <w:p w14:paraId="253B91BA" w14:textId="58310DCF" w:rsidR="00E75E98" w:rsidRDefault="00E75E98" w:rsidP="00E75E98">
      <w:pPr>
        <w:pStyle w:val="Textonotapie"/>
        <w:numPr>
          <w:ilvl w:val="0"/>
          <w:numId w:val="56"/>
        </w:numPr>
        <w:spacing w:after="0"/>
        <w:ind w:left="283" w:hanging="113"/>
      </w:pPr>
      <w:r>
        <w:rPr>
          <w:i/>
          <w:iCs/>
        </w:rPr>
        <w:t>d</w:t>
      </w:r>
      <w:r>
        <w:t>: cantidad de input consumida.</w:t>
      </w:r>
    </w:p>
    <w:p w14:paraId="6F4C8F0D" w14:textId="5B5A1104" w:rsidR="00E75E98" w:rsidRDefault="00E75E98" w:rsidP="00AB58A7">
      <w:pPr>
        <w:pStyle w:val="Textonotapie"/>
        <w:numPr>
          <w:ilvl w:val="0"/>
          <w:numId w:val="56"/>
        </w:numPr>
        <w:ind w:left="283" w:hanging="113"/>
      </w:pPr>
      <w:r>
        <w:rPr>
          <w:i/>
          <w:iCs/>
        </w:rPr>
        <w:t>a</w:t>
      </w:r>
      <w:r>
        <w:t>: precio del input.</w:t>
      </w:r>
    </w:p>
    <w:p w14:paraId="3D5A8F5A" w14:textId="601936DB" w:rsidR="00D51C74" w:rsidRPr="00D51C74" w:rsidRDefault="00D51C74" w:rsidP="00D51C74">
      <w:pPr>
        <w:pStyle w:val="Textonotapie"/>
      </w:pPr>
      <w:r>
        <w:t>El índice así expresado es una medición teórica, pues no es posible obtener las cantidades de los consumos intermedios de cada mes y valorarlas a los precios del período base, por lo que hay que aproximarse mediante mediciones prácticas, tal y como establecen las Recomendaciones Internacionales para el Índice de Producción Industrial 2010 de la ONU.</w:t>
      </w:r>
    </w:p>
  </w:footnote>
  <w:footnote w:id="15">
    <w:p w14:paraId="7FC6B383" w14:textId="77777777" w:rsidR="002B7A8E" w:rsidRPr="00B300A7" w:rsidRDefault="002B7A8E" w:rsidP="002B7A8E">
      <w:pPr>
        <w:pStyle w:val="Textonotapie"/>
        <w:keepNext/>
        <w:spacing w:after="0"/>
      </w:pPr>
      <w:r w:rsidRPr="00B300A7">
        <w:rPr>
          <w:rStyle w:val="Refdenotaalpie"/>
          <w:sz w:val="20"/>
        </w:rPr>
        <w:footnoteRef/>
      </w:r>
      <w:r w:rsidRPr="00B300A7">
        <w:t xml:space="preserve"> Pese a que un índice Laspeyres sobreestima la verdadera elevación del coste de la vida (ante un aumento de los precios, al no tener en cuenta que los individuos los sustituirán productos que más se han encarecido por otros), su elección se basa en 2 motivos:</w:t>
      </w:r>
    </w:p>
    <w:p w14:paraId="04E1989D" w14:textId="77777777" w:rsidR="002B7A8E" w:rsidRPr="00B300A7" w:rsidRDefault="002B7A8E" w:rsidP="002B7A8E">
      <w:pPr>
        <w:pStyle w:val="Textonotapie"/>
        <w:numPr>
          <w:ilvl w:val="0"/>
          <w:numId w:val="61"/>
        </w:numPr>
        <w:spacing w:after="0"/>
        <w:ind w:left="284" w:hanging="57"/>
      </w:pPr>
      <w:r w:rsidRPr="00B300A7">
        <w:t>Uno de orden teórico: el límite superior del aumento del coste de la vida es el índice Laspeyres (mientras que el índice Paasche es el límite inferior).</w:t>
      </w:r>
    </w:p>
    <w:p w14:paraId="5DA8616D" w14:textId="77777777" w:rsidR="002B7A8E" w:rsidRDefault="002B7A8E" w:rsidP="002B7A8E">
      <w:pPr>
        <w:pStyle w:val="Textonotapie"/>
        <w:numPr>
          <w:ilvl w:val="0"/>
          <w:numId w:val="61"/>
        </w:numPr>
        <w:spacing w:after="0"/>
        <w:ind w:left="284" w:hanging="57"/>
      </w:pPr>
      <w:r w:rsidRPr="00B300A7">
        <w:t>Uno de orden práctico: cualquier otro índice de precios, al cambiar año a año la cesta de referencia, exigiría una nueva encuesta anual, lo que resulta caro y complejo (de ahí que cada 5 años se cambie la cesta, para que no pierda representatividad).</w:t>
      </w:r>
    </w:p>
    <w:p w14:paraId="1FAE7AC0" w14:textId="77777777" w:rsidR="002B7A8E" w:rsidRDefault="002B7A8E" w:rsidP="002B7A8E">
      <w:pPr>
        <w:pStyle w:val="Textonotapie"/>
        <w:spacing w:after="0"/>
      </w:pPr>
      <w:r w:rsidRPr="00D350A7">
        <w:t xml:space="preserve">Actualmente el IPC tiene base 2011 y mantiene las principales características del IPC, base 2006. Para realizar la actualización se utiliza la información proporcionada por la nueva Encuesta de Presupuestos Familiares. De la muestra salen productos y servicios como los CD grabables o el alquiler de películas, y entran otros como las tabletas electrónicas, los discos duros portátiles, los servicios de logopedia o la depilación por láser. En cuanto a la ponderación de los productos, los alimentos ganan peso frente a la base anterior (consecuencia de la crisis económica: ante la caída del consumo, el </w:t>
      </w:r>
      <w:r>
        <w:t>porcentaje</w:t>
      </w:r>
      <w:r w:rsidRPr="00D350A7">
        <w:t xml:space="preserve"> del gasto que las familias destinan a productos de 1ª necesidad se incrementa</w:t>
      </w:r>
      <w:r w:rsidRPr="00B300A7">
        <w:t>). El transporte también aumenta su presencia en la cesta de la compra (debido al aumento de precios de carburantes y lubricantes), así como la vivienda y, en menor medida, las bebidas alcohólicas y el tabaco. En el lado opuesto, pierden peso los productos relacionados con las comunicaciones (teléfonos, internet), el vestido y el</w:t>
      </w:r>
      <w:r>
        <w:t xml:space="preserve"> calzado y el ocio y la cultura.</w:t>
      </w:r>
    </w:p>
    <w:p w14:paraId="03A7DDA9" w14:textId="77777777" w:rsidR="002B7A8E" w:rsidRPr="00B16F10" w:rsidRDefault="002B7A8E" w:rsidP="002B7A8E">
      <w:pPr>
        <w:pStyle w:val="Textonotapie"/>
        <w:keepNext/>
        <w:spacing w:after="0"/>
        <w:rPr>
          <w:lang w:val="en-US"/>
        </w:rPr>
      </w:pPr>
      <w:r w:rsidRPr="00B16F10">
        <w:rPr>
          <w:lang w:val="en-US"/>
        </w:rPr>
        <w:t xml:space="preserve">En la </w:t>
      </w:r>
      <w:proofErr w:type="spellStart"/>
      <w:r w:rsidRPr="00B16F10">
        <w:rPr>
          <w:lang w:val="en-US"/>
        </w:rPr>
        <w:t>fórmula</w:t>
      </w:r>
      <w:proofErr w:type="spellEnd"/>
      <w:r w:rsidRPr="00B16F10">
        <w:rPr>
          <w:lang w:val="en-US"/>
        </w:rPr>
        <w:t>:</w:t>
      </w:r>
    </w:p>
    <w:p w14:paraId="59EF61ED" w14:textId="77777777" w:rsidR="002B7A8E" w:rsidRPr="00D7001A" w:rsidRDefault="00000000" w:rsidP="002B7A8E">
      <w:pPr>
        <w:pStyle w:val="Textonotapie"/>
        <w:keepNext/>
        <w:spacing w:after="0"/>
        <w:rPr>
          <w:i/>
          <w:lang w:val="en-US"/>
        </w:rPr>
      </w:pPr>
      <m:oMathPara>
        <m:oMath>
          <m:sSub>
            <m:sSubPr>
              <m:ctrlPr>
                <w:rPr>
                  <w:rFonts w:ascii="Cambria Math" w:hAnsi="Cambria Math" w:cs="Times New Roman"/>
                  <w:bCs/>
                  <w:i/>
                </w:rPr>
              </m:ctrlPr>
            </m:sSubPr>
            <m:e>
              <m:r>
                <m:rPr>
                  <m:nor/>
                </m:rPr>
                <w:rPr>
                  <w:rFonts w:cs="Times New Roman"/>
                  <w:i/>
                  <w:lang w:val="en-US"/>
                </w:rPr>
                <m:t>IPC</m:t>
              </m:r>
            </m:e>
            <m:sub>
              <m:r>
                <m:rPr>
                  <m:nor/>
                </m:rPr>
                <w:rPr>
                  <w:rFonts w:cs="Times New Roman"/>
                  <w:i/>
                  <w:lang w:val="en-US"/>
                </w:rPr>
                <m:t>t</m:t>
              </m:r>
            </m:sub>
          </m:sSub>
          <m:r>
            <w:rPr>
              <w:rFonts w:ascii="Cambria Math" w:hAnsi="Cambria Math" w:cs="Times New Roman"/>
              <w:lang w:val="en-US"/>
            </w:rPr>
            <m:t>=</m:t>
          </m:r>
          <m:nary>
            <m:naryPr>
              <m:chr m:val="∑"/>
              <m:limLoc m:val="undOvr"/>
              <m:ctrlPr>
                <w:rPr>
                  <w:rFonts w:ascii="Cambria Math" w:hAnsi="Cambria Math" w:cs="Times New Roman"/>
                  <w:bCs/>
                  <w:i/>
                </w:rPr>
              </m:ctrlPr>
            </m:naryPr>
            <m:sub>
              <m:r>
                <m:rPr>
                  <m:nor/>
                </m:rPr>
                <w:rPr>
                  <w:rFonts w:cs="Times New Roman"/>
                  <w:i/>
                  <w:lang w:val="en-US"/>
                </w:rPr>
                <m:t>i</m:t>
              </m:r>
              <m:r>
                <w:rPr>
                  <w:rFonts w:ascii="Cambria Math" w:hAnsi="Cambria Math" w:cs="Times New Roman"/>
                  <w:lang w:val="en-US"/>
                </w:rPr>
                <m:t>=</m:t>
              </m:r>
              <m:r>
                <m:rPr>
                  <m:nor/>
                </m:rPr>
                <w:rPr>
                  <w:rFonts w:cs="Times New Roman"/>
                  <w:i/>
                  <w:lang w:val="en-US"/>
                </w:rPr>
                <m:t>1</m:t>
              </m:r>
            </m:sub>
            <m:sup>
              <m:r>
                <m:rPr>
                  <m:nor/>
                </m:rPr>
                <w:rPr>
                  <w:rFonts w:cs="Times New Roman"/>
                  <w:i/>
                  <w:lang w:val="en-US"/>
                </w:rPr>
                <m:t>n</m:t>
              </m:r>
            </m:sup>
            <m:e>
              <m:sSub>
                <m:sSubPr>
                  <m:ctrlPr>
                    <w:rPr>
                      <w:rFonts w:ascii="Cambria Math" w:hAnsi="Cambria Math" w:cs="Times New Roman"/>
                      <w:bCs/>
                      <w:i/>
                    </w:rPr>
                  </m:ctrlPr>
                </m:sSubPr>
                <m:e>
                  <m:r>
                    <m:rPr>
                      <m:nor/>
                    </m:rPr>
                    <w:rPr>
                      <w:rFonts w:cs="Times New Roman"/>
                      <w:i/>
                      <w:lang w:val="en-US"/>
                    </w:rPr>
                    <m:t>w</m:t>
                  </m:r>
                </m:e>
                <m:sub>
                  <m:r>
                    <m:rPr>
                      <m:nor/>
                    </m:rPr>
                    <w:rPr>
                      <w:rFonts w:cs="Times New Roman"/>
                      <w:i/>
                      <w:lang w:val="en-US"/>
                    </w:rPr>
                    <m:t>i0</m:t>
                  </m:r>
                </m:sub>
              </m:sSub>
              <m:r>
                <w:rPr>
                  <w:rFonts w:ascii="Cambria Math" w:hAnsi="Cambria Math" w:cs="Times New Roman"/>
                  <w:lang w:val="en-US"/>
                </w:rPr>
                <m:t>∙</m:t>
              </m:r>
              <m:f>
                <m:fPr>
                  <m:ctrlPr>
                    <w:rPr>
                      <w:rFonts w:ascii="Cambria Math" w:hAnsi="Cambria Math" w:cs="Times New Roman"/>
                      <w:bCs/>
                      <w:i/>
                      <w:lang w:val="en-US"/>
                    </w:rPr>
                  </m:ctrlPr>
                </m:fPr>
                <m:num>
                  <m:sSub>
                    <m:sSubPr>
                      <m:ctrlPr>
                        <w:rPr>
                          <w:rFonts w:ascii="Cambria Math" w:hAnsi="Cambria Math" w:cs="Times New Roman"/>
                          <w:bCs/>
                          <w:i/>
                          <w:lang w:val="en-US"/>
                        </w:rPr>
                      </m:ctrlPr>
                    </m:sSubPr>
                    <m:e>
                      <m:r>
                        <m:rPr>
                          <m:nor/>
                        </m:rPr>
                        <w:rPr>
                          <w:rFonts w:cs="Times New Roman"/>
                          <w:i/>
                          <w:lang w:val="en-US"/>
                        </w:rPr>
                        <m:t>p</m:t>
                      </m:r>
                    </m:e>
                    <m:sub>
                      <m:r>
                        <m:rPr>
                          <m:nor/>
                        </m:rPr>
                        <w:rPr>
                          <w:rFonts w:cs="Times New Roman"/>
                          <w:i/>
                          <w:lang w:val="en-US"/>
                        </w:rPr>
                        <m:t>it</m:t>
                      </m:r>
                    </m:sub>
                  </m:sSub>
                </m:num>
                <m:den>
                  <m:sSub>
                    <m:sSubPr>
                      <m:ctrlPr>
                        <w:rPr>
                          <w:rFonts w:ascii="Cambria Math" w:hAnsi="Cambria Math" w:cs="Times New Roman"/>
                          <w:bCs/>
                          <w:i/>
                          <w:lang w:val="en-US"/>
                        </w:rPr>
                      </m:ctrlPr>
                    </m:sSubPr>
                    <m:e>
                      <m:r>
                        <m:rPr>
                          <m:nor/>
                        </m:rPr>
                        <w:rPr>
                          <w:rFonts w:cs="Times New Roman"/>
                          <w:i/>
                          <w:lang w:val="en-US"/>
                        </w:rPr>
                        <m:t>p</m:t>
                      </m:r>
                    </m:e>
                    <m:sub>
                      <m:r>
                        <m:rPr>
                          <m:nor/>
                        </m:rPr>
                        <w:rPr>
                          <w:rFonts w:cs="Times New Roman"/>
                          <w:i/>
                          <w:lang w:val="en-US"/>
                        </w:rPr>
                        <m:t>i0</m:t>
                      </m:r>
                    </m:sub>
                  </m:sSub>
                </m:den>
              </m:f>
            </m:e>
          </m:nary>
        </m:oMath>
      </m:oMathPara>
    </w:p>
    <w:p w14:paraId="4F8CB084" w14:textId="77777777" w:rsidR="002B7A8E" w:rsidRDefault="002B7A8E" w:rsidP="002B7A8E">
      <w:pPr>
        <w:pStyle w:val="Textonotapie"/>
        <w:numPr>
          <w:ilvl w:val="0"/>
          <w:numId w:val="62"/>
        </w:numPr>
        <w:spacing w:after="0"/>
        <w:ind w:left="284" w:hanging="57"/>
      </w:pPr>
      <w:r w:rsidRPr="00D350A7">
        <w:rPr>
          <w:i/>
          <w:iCs/>
        </w:rPr>
        <w:t>w</w:t>
      </w:r>
      <w:r w:rsidRPr="00B300A7">
        <w:t xml:space="preserve"> son las ponderaciones del año base para cada artículo</w:t>
      </w:r>
      <w:r>
        <w:t>,</w:t>
      </w:r>
      <w:r w:rsidRPr="00B300A7">
        <w:t xml:space="preserve"> </w:t>
      </w:r>
      <w:r>
        <w:t>y representa</w:t>
      </w:r>
      <w:r w:rsidRPr="00B300A7">
        <w:t xml:space="preserve"> la proporción del gasto efectuado en ese artículo respecto al gasto total efectuado por los hogares; la estructura de ponderaciones se revisa anualmente, lo que permite una mejor adaptación del índice a la evolución del mercado y a los cambios de hábitos de consumo. Además permite detectar la aparición de nuevos bienes o servicios en el mercado para su inclusión en el IPC, así como la desaparición de los que se consideren poco significativos.</w:t>
      </w:r>
    </w:p>
    <w:p w14:paraId="635C959D" w14:textId="77777777" w:rsidR="002B7A8E" w:rsidRDefault="002B7A8E" w:rsidP="002B7A8E">
      <w:pPr>
        <w:pStyle w:val="Textonotapie"/>
        <w:numPr>
          <w:ilvl w:val="0"/>
          <w:numId w:val="62"/>
        </w:numPr>
        <w:spacing w:after="0"/>
        <w:ind w:left="284" w:hanging="57"/>
      </w:pPr>
      <w:r w:rsidRPr="00D350A7">
        <w:rPr>
          <w:i/>
          <w:iCs/>
        </w:rPr>
        <w:t>P</w:t>
      </w:r>
      <w:r>
        <w:t>:</w:t>
      </w:r>
      <w:r w:rsidRPr="00B300A7">
        <w:t xml:space="preserve"> precios, en el</w:t>
      </w:r>
      <w:r>
        <w:t xml:space="preserve"> periodo t y en el periodo base.</w:t>
      </w:r>
    </w:p>
    <w:p w14:paraId="71E483D2" w14:textId="77777777" w:rsidR="002B7A8E" w:rsidRPr="00B300A7" w:rsidRDefault="002B7A8E" w:rsidP="002B7A8E">
      <w:pPr>
        <w:pStyle w:val="Textonotapie"/>
        <w:numPr>
          <w:ilvl w:val="0"/>
          <w:numId w:val="62"/>
        </w:numPr>
        <w:ind w:left="284" w:hanging="57"/>
      </w:pPr>
      <w:r w:rsidRPr="00D350A7">
        <w:rPr>
          <w:i/>
          <w:iCs/>
        </w:rPr>
        <w:t>i</w:t>
      </w:r>
      <w:r>
        <w:t xml:space="preserve">: </w:t>
      </w:r>
      <w:r w:rsidRPr="00B300A7">
        <w:t>subíndice correspondiente al producto o la rama.</w:t>
      </w:r>
    </w:p>
  </w:footnote>
  <w:footnote w:id="16">
    <w:p w14:paraId="33654948" w14:textId="2C392027" w:rsidR="008E7ED5" w:rsidRDefault="008E7ED5">
      <w:pPr>
        <w:pStyle w:val="Textonotapie"/>
      </w:pPr>
      <w:r>
        <w:rPr>
          <w:rStyle w:val="Refdenotaalpie"/>
        </w:rPr>
        <w:footnoteRef/>
      </w:r>
      <w:r>
        <w:t xml:space="preserve"> </w:t>
      </w:r>
      <w:hyperlink r:id="rId3" w:history="1">
        <w:r w:rsidR="00A2440A" w:rsidRPr="0071787E">
          <w:rPr>
            <w:rStyle w:val="Hipervnculo"/>
          </w:rPr>
          <w:t>https://ec.europa.eu/eurostat/web/european-statistical-system/programmes-and-activities/statistical-programmes?language=es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45F84" w:rsidRPr="00C44422" w14:paraId="2F1BC394"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5B820D9D" w14:textId="2E82F6BE" w:rsidR="00545F84" w:rsidRPr="00851FCE" w:rsidRDefault="00545F84"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rPr>
                <w:t>4.A.1</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27511741" w14:textId="3852388B" w:rsidR="00545F84" w:rsidRPr="00851FCE" w:rsidRDefault="00545F84" w:rsidP="00C80BBD">
              <w:pPr>
                <w:pStyle w:val="Encabezado"/>
                <w:spacing w:after="0"/>
                <w:ind w:right="-110"/>
                <w:contextualSpacing/>
                <w:jc w:val="center"/>
                <w:rPr>
                  <w:i/>
                  <w:iCs/>
                  <w:color w:val="5F2987"/>
                  <w:sz w:val="18"/>
                  <w:szCs w:val="18"/>
                  <w:lang w:val="es-ES"/>
                </w:rPr>
              </w:pPr>
              <w:r w:rsidRPr="00545F84">
                <w:rPr>
                  <w:i/>
                  <w:iCs/>
                  <w:color w:val="5F2987"/>
                  <w:sz w:val="18"/>
                  <w:szCs w:val="18"/>
                  <w:lang w:val="es-ES"/>
                </w:rPr>
                <w:t>Fuentes estadísticas españolas. Características, limitaciones y armonización en el ámbito comunitario.</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6CF5DC92" w14:textId="77777777" w:rsidR="00545F84" w:rsidRPr="00C44422" w:rsidRDefault="00545F84"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45F84" w:rsidRPr="00C44422" w14:paraId="5E3299A5" w14:textId="77777777" w:rsidTr="009F6145">
      <w:trPr>
        <w:trHeight w:val="136"/>
        <w:jc w:val="center"/>
      </w:trPr>
      <w:sdt>
        <w:sdtPr>
          <w:rPr>
            <w:b/>
            <w:bCs/>
            <w:i/>
            <w:iCs/>
            <w:caps/>
            <w:color w:val="5F2987"/>
            <w:sz w:val="18"/>
            <w:szCs w:val="18"/>
          </w:rPr>
          <w:alias w:val="Title"/>
          <w:tag w:val=""/>
          <w:id w:val="-246352566"/>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1FC14FC8" w14:textId="6B0FCE59" w:rsidR="00545F84" w:rsidRPr="00851FCE" w:rsidRDefault="00545F84"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rPr>
                <w:t>4.A.1</w:t>
              </w:r>
            </w:p>
          </w:tc>
        </w:sdtContent>
      </w:sdt>
      <w:tc>
        <w:tcPr>
          <w:tcW w:w="7937" w:type="dxa"/>
          <w:vAlign w:val="center"/>
        </w:tcPr>
        <w:sdt>
          <w:sdtPr>
            <w:rPr>
              <w:i/>
              <w:iCs/>
              <w:color w:val="5F2987"/>
              <w:sz w:val="18"/>
              <w:szCs w:val="18"/>
            </w:rPr>
            <w:alias w:val="Subject"/>
            <w:tag w:val=""/>
            <w:id w:val="-2012978958"/>
            <w:dataBinding w:prefixMappings="xmlns:ns0='http://purl.org/dc/elements/1.1/' xmlns:ns1='http://schemas.openxmlformats.org/package/2006/metadata/core-properties' " w:xpath="/ns1:coreProperties[1]/ns0:subject[1]" w:storeItemID="{6C3C8BC8-F283-45AE-878A-BAB7291924A1}"/>
            <w:text/>
          </w:sdtPr>
          <w:sdtContent>
            <w:p w14:paraId="561E79CE" w14:textId="083A7BE0" w:rsidR="00545F84" w:rsidRPr="00851FCE" w:rsidRDefault="00545F84" w:rsidP="00C80BBD">
              <w:pPr>
                <w:pStyle w:val="Encabezado"/>
                <w:spacing w:after="0"/>
                <w:ind w:right="-110"/>
                <w:contextualSpacing/>
                <w:jc w:val="center"/>
                <w:rPr>
                  <w:i/>
                  <w:iCs/>
                  <w:color w:val="5F2987"/>
                  <w:sz w:val="18"/>
                  <w:szCs w:val="18"/>
                  <w:lang w:val="es-ES"/>
                </w:rPr>
              </w:pPr>
              <w:r w:rsidRPr="00545F84">
                <w:rPr>
                  <w:i/>
                  <w:iCs/>
                  <w:color w:val="5F2987"/>
                  <w:sz w:val="18"/>
                  <w:szCs w:val="18"/>
                  <w:lang w:val="es-ES"/>
                </w:rPr>
                <w:t>Fuentes estadísticas españolas. Características, limitaciones y armonización en el ámbito comunitario.</w:t>
              </w:r>
            </w:p>
          </w:sdtContent>
        </w:sdt>
      </w:tc>
      <w:sdt>
        <w:sdtPr>
          <w:rPr>
            <w:b/>
            <w:bCs/>
            <w:i/>
            <w:iCs/>
            <w:color w:val="5F2987"/>
            <w:spacing w:val="-6"/>
            <w:sz w:val="18"/>
            <w:szCs w:val="18"/>
          </w:rPr>
          <w:alias w:val="Author"/>
          <w:tag w:val=""/>
          <w:id w:val="2139374407"/>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6A33BEFB" w14:textId="77777777" w:rsidR="00545F84" w:rsidRPr="00C44422" w:rsidRDefault="00545F84"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11E43" w:rsidRPr="00BE1B62" w14:paraId="0899C7AF" w14:textId="77777777" w:rsidTr="003F7404">
      <w:tc>
        <w:tcPr>
          <w:tcW w:w="3261" w:type="dxa"/>
          <w:tcBorders>
            <w:bottom w:val="thickThinSmallGap" w:sz="12" w:space="0" w:color="5F2987"/>
          </w:tcBorders>
        </w:tcPr>
        <w:p w14:paraId="3E013675" w14:textId="36DE1DB1" w:rsidR="00311E43" w:rsidRPr="00311E43" w:rsidRDefault="00311E43" w:rsidP="00311E43">
          <w:pPr>
            <w:pStyle w:val="Encabezado"/>
            <w:spacing w:after="0"/>
            <w:jc w:val="left"/>
            <w:rPr>
              <w:i/>
              <w:iCs/>
              <w:color w:val="5F2987"/>
              <w:spacing w:val="-6"/>
              <w:sz w:val="18"/>
              <w:szCs w:val="18"/>
              <w:lang w:val="es-ES"/>
            </w:rPr>
          </w:pPr>
          <w:bookmarkStart w:id="78" w:name="_Hlk145834351"/>
          <w:r w:rsidRPr="00311E43">
            <w:rPr>
              <w:i/>
              <w:iCs/>
              <w:color w:val="5F2987"/>
              <w:spacing w:val="-6"/>
              <w:sz w:val="14"/>
              <w:szCs w:val="14"/>
              <w:lang w:val="es-ES"/>
            </w:rPr>
            <w:t>Fecha de la última actualización:</w:t>
          </w:r>
          <w:r w:rsidRPr="00311E43">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CD41B9">
            <w:rPr>
              <w:i/>
              <w:iCs/>
              <w:noProof/>
              <w:color w:val="5F2987"/>
              <w:spacing w:val="-6"/>
              <w:sz w:val="18"/>
              <w:szCs w:val="18"/>
            </w:rPr>
            <w:t>20/09/2024</w:t>
          </w:r>
          <w:r>
            <w:rPr>
              <w:i/>
              <w:iCs/>
              <w:color w:val="5F2987"/>
              <w:spacing w:val="-6"/>
              <w:sz w:val="18"/>
              <w:szCs w:val="18"/>
            </w:rPr>
            <w:fldChar w:fldCharType="end"/>
          </w:r>
        </w:p>
      </w:tc>
      <w:tc>
        <w:tcPr>
          <w:tcW w:w="4819" w:type="dxa"/>
          <w:tcBorders>
            <w:bottom w:val="thickThinSmallGap" w:sz="12" w:space="0" w:color="5F2987"/>
          </w:tcBorders>
        </w:tcPr>
        <w:p w14:paraId="4F92F434" w14:textId="77777777" w:rsidR="00311E43" w:rsidRPr="00311E43" w:rsidRDefault="00311E43" w:rsidP="00311E43">
          <w:pPr>
            <w:pStyle w:val="Encabezado"/>
            <w:spacing w:after="0"/>
            <w:jc w:val="center"/>
            <w:rPr>
              <w:i/>
              <w:iCs/>
              <w:color w:val="5F2987"/>
              <w:spacing w:val="-6"/>
              <w:sz w:val="18"/>
              <w:szCs w:val="18"/>
              <w:lang w:val="es-ES"/>
            </w:rPr>
          </w:pPr>
          <w:r w:rsidRPr="00311E43">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1783332353"/>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3AF5697" w14:textId="6AA1EE9D" w:rsidR="00311E43" w:rsidRPr="00BE1B62" w:rsidRDefault="00311E43" w:rsidP="00311E43">
              <w:pPr>
                <w:pStyle w:val="Encabezado"/>
                <w:spacing w:after="0"/>
                <w:jc w:val="right"/>
                <w:rPr>
                  <w:i/>
                  <w:iCs/>
                  <w:color w:val="5F2987"/>
                  <w:spacing w:val="-6"/>
                  <w:sz w:val="18"/>
                  <w:szCs w:val="18"/>
                </w:rPr>
              </w:pPr>
              <w:r>
                <w:rPr>
                  <w:i/>
                  <w:iCs/>
                  <w:color w:val="5F2987"/>
                  <w:spacing w:val="-6"/>
                  <w:sz w:val="20"/>
                  <w:szCs w:val="20"/>
                </w:rPr>
                <w:t>4.A.1</w:t>
              </w:r>
            </w:p>
          </w:tc>
        </w:sdtContent>
      </w:sdt>
    </w:tr>
    <w:bookmarkEnd w:id="78"/>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1FF8DB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771076"/>
    <w:multiLevelType w:val="hybridMultilevel"/>
    <w:tmpl w:val="D2A0EF7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6BA320F"/>
    <w:multiLevelType w:val="hybridMultilevel"/>
    <w:tmpl w:val="B2B0A288"/>
    <w:lvl w:ilvl="0" w:tplc="BEE883D6">
      <w:start w:val="1"/>
      <w:numFmt w:val="lowerLetter"/>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72B24B3"/>
    <w:multiLevelType w:val="hybridMultilevel"/>
    <w:tmpl w:val="BFACDDD6"/>
    <w:lvl w:ilvl="0" w:tplc="DAA6C48A">
      <w:start w:val="1"/>
      <w:numFmt w:val="lowerLetter"/>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8" w15:restartNumberingAfterBreak="0">
    <w:nsid w:val="0C7222C8"/>
    <w:multiLevelType w:val="hybridMultilevel"/>
    <w:tmpl w:val="50A8CA76"/>
    <w:lvl w:ilvl="0" w:tplc="8D3EEF5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0E493A76"/>
    <w:multiLevelType w:val="hybridMultilevel"/>
    <w:tmpl w:val="4030DD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E9B7748"/>
    <w:multiLevelType w:val="hybridMultilevel"/>
    <w:tmpl w:val="71568CDC"/>
    <w:lvl w:ilvl="0" w:tplc="68A61F82">
      <w:start w:val="1"/>
      <w:numFmt w:val="lowerRoman"/>
      <w:lvlText w:val="%1)"/>
      <w:lvlJc w:val="right"/>
      <w:pPr>
        <w:ind w:left="720" w:hanging="360"/>
      </w:pPr>
      <w:rPr>
        <w:rFonts w:hint="default"/>
        <w:i/>
        <w:iCs/>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51F74F0"/>
    <w:multiLevelType w:val="hybridMultilevel"/>
    <w:tmpl w:val="AE2AF6F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166857B5"/>
    <w:multiLevelType w:val="multilevel"/>
    <w:tmpl w:val="2814D746"/>
    <w:styleLink w:val="WW8Num8"/>
    <w:lvl w:ilvl="0">
      <w:numFmt w:val="bullet"/>
      <w:lvlText w:val="-"/>
      <w:lvlJc w:val="left"/>
      <w:pPr>
        <w:ind w:left="0" w:firstLine="0"/>
      </w:pPr>
      <w:rPr>
        <w:rFonts w:ascii="Times New Roman" w:hAnsi="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19150312"/>
    <w:multiLevelType w:val="hybridMultilevel"/>
    <w:tmpl w:val="7DEC4756"/>
    <w:lvl w:ilvl="0" w:tplc="7D50F38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1A986DB4"/>
    <w:multiLevelType w:val="hybridMultilevel"/>
    <w:tmpl w:val="546C47EA"/>
    <w:lvl w:ilvl="0" w:tplc="2BD4DE0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D352DA9"/>
    <w:multiLevelType w:val="hybridMultilevel"/>
    <w:tmpl w:val="AB427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1794564"/>
    <w:multiLevelType w:val="hybridMultilevel"/>
    <w:tmpl w:val="6DC6DC50"/>
    <w:lvl w:ilvl="0" w:tplc="118A3C7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34" w15:restartNumberingAfterBreak="0">
    <w:nsid w:val="2A2B7C04"/>
    <w:multiLevelType w:val="hybridMultilevel"/>
    <w:tmpl w:val="EC4A9696"/>
    <w:lvl w:ilvl="0" w:tplc="C4AA32B0">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2BCE4AEB"/>
    <w:multiLevelType w:val="hybridMultilevel"/>
    <w:tmpl w:val="DCB25AF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D28574A"/>
    <w:multiLevelType w:val="hybridMultilevel"/>
    <w:tmpl w:val="F5C05AAC"/>
    <w:lvl w:ilvl="0" w:tplc="BDE6A19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2532FEF"/>
    <w:multiLevelType w:val="hybridMultilevel"/>
    <w:tmpl w:val="44666888"/>
    <w:lvl w:ilvl="0" w:tplc="1060A10A">
      <w:start w:val="1"/>
      <w:numFmt w:val="decimal"/>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7124407"/>
    <w:multiLevelType w:val="hybridMultilevel"/>
    <w:tmpl w:val="07B0462C"/>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8192CE1"/>
    <w:multiLevelType w:val="hybridMultilevel"/>
    <w:tmpl w:val="F160AEFC"/>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491F7358"/>
    <w:multiLevelType w:val="hybridMultilevel"/>
    <w:tmpl w:val="B5446866"/>
    <w:lvl w:ilvl="0" w:tplc="C4AA32B0">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505D4858"/>
    <w:multiLevelType w:val="hybridMultilevel"/>
    <w:tmpl w:val="94180864"/>
    <w:lvl w:ilvl="0" w:tplc="0409001B">
      <w:start w:val="1"/>
      <w:numFmt w:val="lowerRoman"/>
      <w:lvlText w:val="%1."/>
      <w:lvlJc w:val="righ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FB7C1A"/>
    <w:multiLevelType w:val="multilevel"/>
    <w:tmpl w:val="0809001D"/>
    <w:numStyleLink w:val="Lista1"/>
  </w:abstractNum>
  <w:abstractNum w:abstractNumId="46" w15:restartNumberingAfterBreak="0">
    <w:nsid w:val="52EC5E44"/>
    <w:multiLevelType w:val="hybridMultilevel"/>
    <w:tmpl w:val="5312641C"/>
    <w:lvl w:ilvl="0" w:tplc="C4AA32B0">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58015EDF"/>
    <w:multiLevelType w:val="hybridMultilevel"/>
    <w:tmpl w:val="9640C00C"/>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B2D13F2"/>
    <w:multiLevelType w:val="hybridMultilevel"/>
    <w:tmpl w:val="1478BE7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0AA2E56"/>
    <w:multiLevelType w:val="hybridMultilevel"/>
    <w:tmpl w:val="14A68AAC"/>
    <w:lvl w:ilvl="0" w:tplc="C1EC114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5536241"/>
    <w:multiLevelType w:val="hybridMultilevel"/>
    <w:tmpl w:val="8AE04136"/>
    <w:lvl w:ilvl="0" w:tplc="63C6396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655A088A"/>
    <w:multiLevelType w:val="hybridMultilevel"/>
    <w:tmpl w:val="EBB636C8"/>
    <w:lvl w:ilvl="0" w:tplc="E668C30E">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74D4CD8"/>
    <w:multiLevelType w:val="hybridMultilevel"/>
    <w:tmpl w:val="75362A90"/>
    <w:lvl w:ilvl="0" w:tplc="C4AA32B0">
      <w:start w:val="1"/>
      <w:numFmt w:val="bullet"/>
      <w:lvlText w:val=""/>
      <w:lvlJc w:val="righ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8"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19C3094"/>
    <w:multiLevelType w:val="hybridMultilevel"/>
    <w:tmpl w:val="C1B492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3427815"/>
    <w:multiLevelType w:val="hybridMultilevel"/>
    <w:tmpl w:val="F64A1E3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6CF3419"/>
    <w:multiLevelType w:val="hybridMultilevel"/>
    <w:tmpl w:val="68CE0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6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67" w15:restartNumberingAfterBreak="0">
    <w:nsid w:val="7FF94166"/>
    <w:multiLevelType w:val="hybridMultilevel"/>
    <w:tmpl w:val="528AFDF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92694031">
    <w:abstractNumId w:val="30"/>
  </w:num>
  <w:num w:numId="2" w16cid:durableId="1495876085">
    <w:abstractNumId w:val="36"/>
  </w:num>
  <w:num w:numId="3" w16cid:durableId="302659743">
    <w:abstractNumId w:val="26"/>
  </w:num>
  <w:num w:numId="4" w16cid:durableId="1800491481">
    <w:abstractNumId w:val="16"/>
  </w:num>
  <w:num w:numId="5" w16cid:durableId="750539305">
    <w:abstractNumId w:val="58"/>
  </w:num>
  <w:num w:numId="6" w16cid:durableId="604846174">
    <w:abstractNumId w:val="12"/>
  </w:num>
  <w:num w:numId="7" w16cid:durableId="810514346">
    <w:abstractNumId w:val="48"/>
  </w:num>
  <w:num w:numId="8" w16cid:durableId="1957834401">
    <w:abstractNumId w:val="29"/>
  </w:num>
  <w:num w:numId="9" w16cid:durableId="258636023">
    <w:abstractNumId w:val="0"/>
  </w:num>
  <w:num w:numId="10" w16cid:durableId="1930960520">
    <w:abstractNumId w:val="62"/>
  </w:num>
  <w:num w:numId="11" w16cid:durableId="235743767">
    <w:abstractNumId w:val="22"/>
  </w:num>
  <w:num w:numId="12" w16cid:durableId="1796099827">
    <w:abstractNumId w:val="44"/>
  </w:num>
  <w:num w:numId="13" w16cid:durableId="399594620">
    <w:abstractNumId w:val="60"/>
  </w:num>
  <w:num w:numId="14" w16cid:durableId="1525703928">
    <w:abstractNumId w:val="35"/>
  </w:num>
  <w:num w:numId="15" w16cid:durableId="1270576867">
    <w:abstractNumId w:val="55"/>
  </w:num>
  <w:num w:numId="16" w16cid:durableId="886988791">
    <w:abstractNumId w:val="19"/>
  </w:num>
  <w:num w:numId="17" w16cid:durableId="1363283839">
    <w:abstractNumId w:val="27"/>
  </w:num>
  <w:num w:numId="18" w16cid:durableId="2039504399">
    <w:abstractNumId w:val="59"/>
  </w:num>
  <w:num w:numId="19" w16cid:durableId="1023824656">
    <w:abstractNumId w:val="17"/>
  </w:num>
  <w:num w:numId="20" w16cid:durableId="1443767596">
    <w:abstractNumId w:val="61"/>
  </w:num>
  <w:num w:numId="21" w16cid:durableId="1358846823">
    <w:abstractNumId w:val="66"/>
  </w:num>
  <w:num w:numId="22" w16cid:durableId="1192762854">
    <w:abstractNumId w:val="65"/>
  </w:num>
  <w:num w:numId="23" w16cid:durableId="1001809579">
    <w:abstractNumId w:val="31"/>
  </w:num>
  <w:num w:numId="24" w16cid:durableId="138769321">
    <w:abstractNumId w:val="50"/>
  </w:num>
  <w:num w:numId="25" w16cid:durableId="1676111331">
    <w:abstractNumId w:val="32"/>
  </w:num>
  <w:num w:numId="26" w16cid:durableId="1633555825">
    <w:abstractNumId w:val="45"/>
  </w:num>
  <w:num w:numId="27" w16cid:durableId="1375541470">
    <w:abstractNumId w:val="57"/>
  </w:num>
  <w:num w:numId="28" w16cid:durableId="850680477">
    <w:abstractNumId w:val="33"/>
  </w:num>
  <w:num w:numId="29" w16cid:durableId="173688061">
    <w:abstractNumId w:val="10"/>
  </w:num>
  <w:num w:numId="30" w16cid:durableId="1731146354">
    <w:abstractNumId w:val="8"/>
  </w:num>
  <w:num w:numId="31" w16cid:durableId="2023622509">
    <w:abstractNumId w:val="7"/>
  </w:num>
  <w:num w:numId="32" w16cid:durableId="587470363">
    <w:abstractNumId w:val="6"/>
  </w:num>
  <w:num w:numId="33" w16cid:durableId="1175263759">
    <w:abstractNumId w:val="5"/>
  </w:num>
  <w:num w:numId="34" w16cid:durableId="1906409272">
    <w:abstractNumId w:val="9"/>
  </w:num>
  <w:num w:numId="35" w16cid:durableId="1746486138">
    <w:abstractNumId w:val="4"/>
  </w:num>
  <w:num w:numId="36" w16cid:durableId="1914004636">
    <w:abstractNumId w:val="3"/>
  </w:num>
  <w:num w:numId="37" w16cid:durableId="1972206742">
    <w:abstractNumId w:val="2"/>
  </w:num>
  <w:num w:numId="38" w16cid:durableId="1190609257">
    <w:abstractNumId w:val="1"/>
  </w:num>
  <w:num w:numId="39" w16cid:durableId="258955454">
    <w:abstractNumId w:val="64"/>
  </w:num>
  <w:num w:numId="40" w16cid:durableId="882330180">
    <w:abstractNumId w:val="37"/>
  </w:num>
  <w:num w:numId="41" w16cid:durableId="1448818997">
    <w:abstractNumId w:val="40"/>
  </w:num>
  <w:num w:numId="42" w16cid:durableId="7665390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38724045">
    <w:abstractNumId w:val="47"/>
  </w:num>
  <w:num w:numId="44" w16cid:durableId="842432146">
    <w:abstractNumId w:val="15"/>
  </w:num>
  <w:num w:numId="45" w16cid:durableId="229925489">
    <w:abstractNumId w:val="23"/>
  </w:num>
  <w:num w:numId="46" w16cid:durableId="1539854101">
    <w:abstractNumId w:val="53"/>
  </w:num>
  <w:num w:numId="47" w16cid:durableId="779879018">
    <w:abstractNumId w:val="21"/>
  </w:num>
  <w:num w:numId="48" w16cid:durableId="29233354">
    <w:abstractNumId w:val="49"/>
  </w:num>
  <w:num w:numId="49" w16cid:durableId="366832200">
    <w:abstractNumId w:val="39"/>
  </w:num>
  <w:num w:numId="50" w16cid:durableId="2147355854">
    <w:abstractNumId w:val="13"/>
  </w:num>
  <w:num w:numId="51" w16cid:durableId="159658787">
    <w:abstractNumId w:val="25"/>
  </w:num>
  <w:num w:numId="52" w16cid:durableId="94177416">
    <w:abstractNumId w:val="51"/>
  </w:num>
  <w:num w:numId="53" w16cid:durableId="1568296600">
    <w:abstractNumId w:val="14"/>
  </w:num>
  <w:num w:numId="54" w16cid:durableId="644896284">
    <w:abstractNumId w:val="54"/>
  </w:num>
  <w:num w:numId="55" w16cid:durableId="1576158501">
    <w:abstractNumId w:val="52"/>
  </w:num>
  <w:num w:numId="56" w16cid:durableId="940918727">
    <w:abstractNumId w:val="46"/>
  </w:num>
  <w:num w:numId="57" w16cid:durableId="1142499540">
    <w:abstractNumId w:val="63"/>
  </w:num>
  <w:num w:numId="58" w16cid:durableId="2137485682">
    <w:abstractNumId w:val="56"/>
  </w:num>
  <w:num w:numId="59" w16cid:durableId="670061195">
    <w:abstractNumId w:val="38"/>
  </w:num>
  <w:num w:numId="60" w16cid:durableId="1141001572">
    <w:abstractNumId w:val="42"/>
  </w:num>
  <w:num w:numId="61" w16cid:durableId="752777401">
    <w:abstractNumId w:val="34"/>
  </w:num>
  <w:num w:numId="62" w16cid:durableId="1911379054">
    <w:abstractNumId w:val="43"/>
  </w:num>
  <w:num w:numId="63" w16cid:durableId="780299187">
    <w:abstractNumId w:val="40"/>
    <w:lvlOverride w:ilvl="0">
      <w:startOverride w:val="2"/>
    </w:lvlOverride>
    <w:lvlOverride w:ilvl="1">
      <w:startOverride w:val="1"/>
    </w:lvlOverride>
    <w:lvlOverride w:ilvl="2"/>
  </w:num>
  <w:num w:numId="64" w16cid:durableId="1709186266">
    <w:abstractNumId w:val="40"/>
    <w:lvlOverride w:ilvl="0">
      <w:startOverride w:val="2"/>
    </w:lvlOverride>
    <w:lvlOverride w:ilvl="1">
      <w:startOverride w:val="2"/>
    </w:lvlOverride>
    <w:lvlOverride w:ilvl="2"/>
  </w:num>
  <w:num w:numId="65" w16cid:durableId="453602657">
    <w:abstractNumId w:val="11"/>
  </w:num>
  <w:num w:numId="66" w16cid:durableId="922959108">
    <w:abstractNumId w:val="20"/>
  </w:num>
  <w:num w:numId="67" w16cid:durableId="435911065">
    <w:abstractNumId w:val="18"/>
  </w:num>
  <w:num w:numId="68" w16cid:durableId="436297522">
    <w:abstractNumId w:val="24"/>
  </w:num>
  <w:num w:numId="69" w16cid:durableId="594091881">
    <w:abstractNumId w:val="41"/>
  </w:num>
  <w:num w:numId="70" w16cid:durableId="732973728">
    <w:abstractNumId w:val="28"/>
  </w:num>
  <w:num w:numId="71" w16cid:durableId="730077255">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448"/>
    <w:rsid w:val="0000166E"/>
    <w:rsid w:val="000016E3"/>
    <w:rsid w:val="00001E3D"/>
    <w:rsid w:val="000023C4"/>
    <w:rsid w:val="00002495"/>
    <w:rsid w:val="00002A09"/>
    <w:rsid w:val="00002B76"/>
    <w:rsid w:val="00002E3A"/>
    <w:rsid w:val="00002EB6"/>
    <w:rsid w:val="000030B5"/>
    <w:rsid w:val="000032B1"/>
    <w:rsid w:val="00003A25"/>
    <w:rsid w:val="000040EA"/>
    <w:rsid w:val="00004264"/>
    <w:rsid w:val="000051EF"/>
    <w:rsid w:val="000053F9"/>
    <w:rsid w:val="00005501"/>
    <w:rsid w:val="000055FA"/>
    <w:rsid w:val="00005F38"/>
    <w:rsid w:val="00005F55"/>
    <w:rsid w:val="00006470"/>
    <w:rsid w:val="0000663D"/>
    <w:rsid w:val="000066BD"/>
    <w:rsid w:val="000066C0"/>
    <w:rsid w:val="0000675F"/>
    <w:rsid w:val="000070D7"/>
    <w:rsid w:val="000076BF"/>
    <w:rsid w:val="000077E2"/>
    <w:rsid w:val="00007F0E"/>
    <w:rsid w:val="00010116"/>
    <w:rsid w:val="000106A8"/>
    <w:rsid w:val="00011356"/>
    <w:rsid w:val="00012701"/>
    <w:rsid w:val="00012BC4"/>
    <w:rsid w:val="00012CD0"/>
    <w:rsid w:val="00013A71"/>
    <w:rsid w:val="00013BF9"/>
    <w:rsid w:val="0001470D"/>
    <w:rsid w:val="0001569A"/>
    <w:rsid w:val="000157F5"/>
    <w:rsid w:val="00015997"/>
    <w:rsid w:val="000160C9"/>
    <w:rsid w:val="000161D0"/>
    <w:rsid w:val="00016574"/>
    <w:rsid w:val="0001668B"/>
    <w:rsid w:val="00016A12"/>
    <w:rsid w:val="00017B40"/>
    <w:rsid w:val="00017C10"/>
    <w:rsid w:val="0002076A"/>
    <w:rsid w:val="00020816"/>
    <w:rsid w:val="00021052"/>
    <w:rsid w:val="000214D2"/>
    <w:rsid w:val="0002179A"/>
    <w:rsid w:val="00021872"/>
    <w:rsid w:val="000219B4"/>
    <w:rsid w:val="00021E32"/>
    <w:rsid w:val="00022463"/>
    <w:rsid w:val="000230C3"/>
    <w:rsid w:val="00023311"/>
    <w:rsid w:val="000233DD"/>
    <w:rsid w:val="0002361F"/>
    <w:rsid w:val="0002386C"/>
    <w:rsid w:val="0002394F"/>
    <w:rsid w:val="0002399C"/>
    <w:rsid w:val="00024095"/>
    <w:rsid w:val="00024146"/>
    <w:rsid w:val="00024A80"/>
    <w:rsid w:val="00024CD1"/>
    <w:rsid w:val="000254B1"/>
    <w:rsid w:val="00025A5C"/>
    <w:rsid w:val="00025C78"/>
    <w:rsid w:val="00026E2C"/>
    <w:rsid w:val="000272EA"/>
    <w:rsid w:val="00027DD5"/>
    <w:rsid w:val="00030BE9"/>
    <w:rsid w:val="00030E31"/>
    <w:rsid w:val="0003115D"/>
    <w:rsid w:val="0003122B"/>
    <w:rsid w:val="000319FC"/>
    <w:rsid w:val="00031D49"/>
    <w:rsid w:val="000322BC"/>
    <w:rsid w:val="000329E8"/>
    <w:rsid w:val="00032AA1"/>
    <w:rsid w:val="00032E0F"/>
    <w:rsid w:val="00032EA1"/>
    <w:rsid w:val="00032ECC"/>
    <w:rsid w:val="000335BC"/>
    <w:rsid w:val="00034352"/>
    <w:rsid w:val="00036802"/>
    <w:rsid w:val="00036EAA"/>
    <w:rsid w:val="00037286"/>
    <w:rsid w:val="000379B1"/>
    <w:rsid w:val="00037BA7"/>
    <w:rsid w:val="00040C13"/>
    <w:rsid w:val="00040E17"/>
    <w:rsid w:val="0004175F"/>
    <w:rsid w:val="000419AD"/>
    <w:rsid w:val="00041BFD"/>
    <w:rsid w:val="000421C1"/>
    <w:rsid w:val="000423AB"/>
    <w:rsid w:val="00042696"/>
    <w:rsid w:val="00042DAB"/>
    <w:rsid w:val="00043363"/>
    <w:rsid w:val="000436DF"/>
    <w:rsid w:val="00043790"/>
    <w:rsid w:val="000439C9"/>
    <w:rsid w:val="00043AF6"/>
    <w:rsid w:val="00043B1C"/>
    <w:rsid w:val="00043E46"/>
    <w:rsid w:val="00043FA0"/>
    <w:rsid w:val="00044994"/>
    <w:rsid w:val="00044C0E"/>
    <w:rsid w:val="00044E0E"/>
    <w:rsid w:val="00044EEE"/>
    <w:rsid w:val="00045070"/>
    <w:rsid w:val="00045432"/>
    <w:rsid w:val="0004567C"/>
    <w:rsid w:val="000456D4"/>
    <w:rsid w:val="0004594D"/>
    <w:rsid w:val="00045F40"/>
    <w:rsid w:val="00045FC7"/>
    <w:rsid w:val="00046894"/>
    <w:rsid w:val="00046E12"/>
    <w:rsid w:val="00046F0A"/>
    <w:rsid w:val="000472B2"/>
    <w:rsid w:val="00047596"/>
    <w:rsid w:val="00047E63"/>
    <w:rsid w:val="00047F74"/>
    <w:rsid w:val="0005073C"/>
    <w:rsid w:val="000508D3"/>
    <w:rsid w:val="00050966"/>
    <w:rsid w:val="00051268"/>
    <w:rsid w:val="000515EB"/>
    <w:rsid w:val="00051E7D"/>
    <w:rsid w:val="00052224"/>
    <w:rsid w:val="00052712"/>
    <w:rsid w:val="00052E5A"/>
    <w:rsid w:val="0005333B"/>
    <w:rsid w:val="00053B06"/>
    <w:rsid w:val="00053C54"/>
    <w:rsid w:val="00053CEF"/>
    <w:rsid w:val="000549AD"/>
    <w:rsid w:val="00054CB3"/>
    <w:rsid w:val="0005534A"/>
    <w:rsid w:val="00056419"/>
    <w:rsid w:val="000567DF"/>
    <w:rsid w:val="0005681F"/>
    <w:rsid w:val="000570D0"/>
    <w:rsid w:val="0005794D"/>
    <w:rsid w:val="00057D47"/>
    <w:rsid w:val="000601B9"/>
    <w:rsid w:val="000603B8"/>
    <w:rsid w:val="00060B47"/>
    <w:rsid w:val="00061379"/>
    <w:rsid w:val="00061865"/>
    <w:rsid w:val="0006187D"/>
    <w:rsid w:val="000621FB"/>
    <w:rsid w:val="00062584"/>
    <w:rsid w:val="00062667"/>
    <w:rsid w:val="00062B55"/>
    <w:rsid w:val="0006321F"/>
    <w:rsid w:val="00063852"/>
    <w:rsid w:val="00064985"/>
    <w:rsid w:val="000649BE"/>
    <w:rsid w:val="00064AA9"/>
    <w:rsid w:val="00065961"/>
    <w:rsid w:val="00065B51"/>
    <w:rsid w:val="00065F29"/>
    <w:rsid w:val="00066AD2"/>
    <w:rsid w:val="00066DB4"/>
    <w:rsid w:val="00066EA5"/>
    <w:rsid w:val="00067205"/>
    <w:rsid w:val="000675E4"/>
    <w:rsid w:val="0007015B"/>
    <w:rsid w:val="00070191"/>
    <w:rsid w:val="0007057F"/>
    <w:rsid w:val="000705E3"/>
    <w:rsid w:val="00070642"/>
    <w:rsid w:val="00070701"/>
    <w:rsid w:val="00070AB1"/>
    <w:rsid w:val="00070C1B"/>
    <w:rsid w:val="0007141A"/>
    <w:rsid w:val="00071619"/>
    <w:rsid w:val="0007194A"/>
    <w:rsid w:val="0007259E"/>
    <w:rsid w:val="000725F5"/>
    <w:rsid w:val="0007480F"/>
    <w:rsid w:val="00074AAF"/>
    <w:rsid w:val="0007508F"/>
    <w:rsid w:val="00076382"/>
    <w:rsid w:val="000764AD"/>
    <w:rsid w:val="00076B08"/>
    <w:rsid w:val="0007702B"/>
    <w:rsid w:val="00077B1B"/>
    <w:rsid w:val="00077DFE"/>
    <w:rsid w:val="00080DD6"/>
    <w:rsid w:val="000810CB"/>
    <w:rsid w:val="00081B23"/>
    <w:rsid w:val="0008226F"/>
    <w:rsid w:val="00082C9E"/>
    <w:rsid w:val="00084408"/>
    <w:rsid w:val="00085177"/>
    <w:rsid w:val="00085FC9"/>
    <w:rsid w:val="0008688A"/>
    <w:rsid w:val="00086893"/>
    <w:rsid w:val="000873A5"/>
    <w:rsid w:val="00087BA9"/>
    <w:rsid w:val="00090006"/>
    <w:rsid w:val="00091307"/>
    <w:rsid w:val="00091DC2"/>
    <w:rsid w:val="00092B22"/>
    <w:rsid w:val="00093C52"/>
    <w:rsid w:val="00094FE7"/>
    <w:rsid w:val="000954D2"/>
    <w:rsid w:val="00095F6E"/>
    <w:rsid w:val="00096069"/>
    <w:rsid w:val="00096521"/>
    <w:rsid w:val="000968C5"/>
    <w:rsid w:val="00096C51"/>
    <w:rsid w:val="00096DFA"/>
    <w:rsid w:val="000974BE"/>
    <w:rsid w:val="000979F7"/>
    <w:rsid w:val="00097C99"/>
    <w:rsid w:val="000A00F4"/>
    <w:rsid w:val="000A0126"/>
    <w:rsid w:val="000A0643"/>
    <w:rsid w:val="000A12DC"/>
    <w:rsid w:val="000A16CE"/>
    <w:rsid w:val="000A1D85"/>
    <w:rsid w:val="000A27FB"/>
    <w:rsid w:val="000A280C"/>
    <w:rsid w:val="000A2927"/>
    <w:rsid w:val="000A312B"/>
    <w:rsid w:val="000A39AE"/>
    <w:rsid w:val="000A3EEA"/>
    <w:rsid w:val="000A442B"/>
    <w:rsid w:val="000A454A"/>
    <w:rsid w:val="000A5531"/>
    <w:rsid w:val="000A6519"/>
    <w:rsid w:val="000A67C9"/>
    <w:rsid w:val="000A6991"/>
    <w:rsid w:val="000A6DE8"/>
    <w:rsid w:val="000A6E59"/>
    <w:rsid w:val="000A6FA7"/>
    <w:rsid w:val="000A73E3"/>
    <w:rsid w:val="000A7DBE"/>
    <w:rsid w:val="000A7E52"/>
    <w:rsid w:val="000B0054"/>
    <w:rsid w:val="000B0096"/>
    <w:rsid w:val="000B03E0"/>
    <w:rsid w:val="000B0BAE"/>
    <w:rsid w:val="000B11F8"/>
    <w:rsid w:val="000B15D8"/>
    <w:rsid w:val="000B19FF"/>
    <w:rsid w:val="000B1C3E"/>
    <w:rsid w:val="000B1D8F"/>
    <w:rsid w:val="000B1E8A"/>
    <w:rsid w:val="000B2526"/>
    <w:rsid w:val="000B2958"/>
    <w:rsid w:val="000B30E2"/>
    <w:rsid w:val="000B33E0"/>
    <w:rsid w:val="000B3B89"/>
    <w:rsid w:val="000B3C7C"/>
    <w:rsid w:val="000B3DAF"/>
    <w:rsid w:val="000B4B3B"/>
    <w:rsid w:val="000B605C"/>
    <w:rsid w:val="000B6251"/>
    <w:rsid w:val="000B6476"/>
    <w:rsid w:val="000B69FA"/>
    <w:rsid w:val="000B7003"/>
    <w:rsid w:val="000B7180"/>
    <w:rsid w:val="000B7442"/>
    <w:rsid w:val="000B744C"/>
    <w:rsid w:val="000B7548"/>
    <w:rsid w:val="000C0074"/>
    <w:rsid w:val="000C025D"/>
    <w:rsid w:val="000C0260"/>
    <w:rsid w:val="000C0550"/>
    <w:rsid w:val="000C13F2"/>
    <w:rsid w:val="000C1462"/>
    <w:rsid w:val="000C1523"/>
    <w:rsid w:val="000C195D"/>
    <w:rsid w:val="000C1DBE"/>
    <w:rsid w:val="000C20FD"/>
    <w:rsid w:val="000C2166"/>
    <w:rsid w:val="000C254C"/>
    <w:rsid w:val="000C2806"/>
    <w:rsid w:val="000C3734"/>
    <w:rsid w:val="000C3DC2"/>
    <w:rsid w:val="000C3FA8"/>
    <w:rsid w:val="000C403E"/>
    <w:rsid w:val="000C4B4C"/>
    <w:rsid w:val="000C4FD1"/>
    <w:rsid w:val="000C56EF"/>
    <w:rsid w:val="000C656F"/>
    <w:rsid w:val="000C6961"/>
    <w:rsid w:val="000C703F"/>
    <w:rsid w:val="000C7217"/>
    <w:rsid w:val="000C762E"/>
    <w:rsid w:val="000C76CF"/>
    <w:rsid w:val="000C7883"/>
    <w:rsid w:val="000C79AA"/>
    <w:rsid w:val="000C7AB9"/>
    <w:rsid w:val="000D010B"/>
    <w:rsid w:val="000D0FDC"/>
    <w:rsid w:val="000D146A"/>
    <w:rsid w:val="000D1552"/>
    <w:rsid w:val="000D15BA"/>
    <w:rsid w:val="000D18D7"/>
    <w:rsid w:val="000D22F9"/>
    <w:rsid w:val="000D2489"/>
    <w:rsid w:val="000D2E97"/>
    <w:rsid w:val="000D324F"/>
    <w:rsid w:val="000D329E"/>
    <w:rsid w:val="000D3789"/>
    <w:rsid w:val="000D4047"/>
    <w:rsid w:val="000D4528"/>
    <w:rsid w:val="000D5122"/>
    <w:rsid w:val="000D54EE"/>
    <w:rsid w:val="000D5658"/>
    <w:rsid w:val="000D79D9"/>
    <w:rsid w:val="000D7B09"/>
    <w:rsid w:val="000D7FAC"/>
    <w:rsid w:val="000E0D36"/>
    <w:rsid w:val="000E1061"/>
    <w:rsid w:val="000E112F"/>
    <w:rsid w:val="000E1335"/>
    <w:rsid w:val="000E140A"/>
    <w:rsid w:val="000E144E"/>
    <w:rsid w:val="000E1949"/>
    <w:rsid w:val="000E1A81"/>
    <w:rsid w:val="000E23AA"/>
    <w:rsid w:val="000E23EA"/>
    <w:rsid w:val="000E3E9D"/>
    <w:rsid w:val="000E47C9"/>
    <w:rsid w:val="000E48DC"/>
    <w:rsid w:val="000E537D"/>
    <w:rsid w:val="000E599F"/>
    <w:rsid w:val="000E5A0A"/>
    <w:rsid w:val="000E5A42"/>
    <w:rsid w:val="000E65E9"/>
    <w:rsid w:val="000E6621"/>
    <w:rsid w:val="000E7029"/>
    <w:rsid w:val="000E7040"/>
    <w:rsid w:val="000E70A6"/>
    <w:rsid w:val="000E74FB"/>
    <w:rsid w:val="000E7B38"/>
    <w:rsid w:val="000F0507"/>
    <w:rsid w:val="000F05E1"/>
    <w:rsid w:val="000F079F"/>
    <w:rsid w:val="000F0914"/>
    <w:rsid w:val="000F0B43"/>
    <w:rsid w:val="000F12C9"/>
    <w:rsid w:val="000F12FD"/>
    <w:rsid w:val="000F137D"/>
    <w:rsid w:val="000F1641"/>
    <w:rsid w:val="000F17FB"/>
    <w:rsid w:val="000F30CC"/>
    <w:rsid w:val="000F41A6"/>
    <w:rsid w:val="000F51DA"/>
    <w:rsid w:val="000F5222"/>
    <w:rsid w:val="000F57A9"/>
    <w:rsid w:val="000F57CE"/>
    <w:rsid w:val="000F58E0"/>
    <w:rsid w:val="000F591C"/>
    <w:rsid w:val="000F595B"/>
    <w:rsid w:val="000F5E3F"/>
    <w:rsid w:val="000F6025"/>
    <w:rsid w:val="000F6868"/>
    <w:rsid w:val="000F6E15"/>
    <w:rsid w:val="000F79E6"/>
    <w:rsid w:val="00100DE1"/>
    <w:rsid w:val="00101138"/>
    <w:rsid w:val="001013DF"/>
    <w:rsid w:val="00101422"/>
    <w:rsid w:val="0010183C"/>
    <w:rsid w:val="00101A75"/>
    <w:rsid w:val="00101CA5"/>
    <w:rsid w:val="001020F8"/>
    <w:rsid w:val="001025D7"/>
    <w:rsid w:val="001033DC"/>
    <w:rsid w:val="00103552"/>
    <w:rsid w:val="001039A6"/>
    <w:rsid w:val="001039D3"/>
    <w:rsid w:val="00103C93"/>
    <w:rsid w:val="00103D94"/>
    <w:rsid w:val="00103FD3"/>
    <w:rsid w:val="00104262"/>
    <w:rsid w:val="00104428"/>
    <w:rsid w:val="00104A2E"/>
    <w:rsid w:val="00104A41"/>
    <w:rsid w:val="001062F1"/>
    <w:rsid w:val="00106401"/>
    <w:rsid w:val="00106C24"/>
    <w:rsid w:val="00107791"/>
    <w:rsid w:val="00107C93"/>
    <w:rsid w:val="001100D5"/>
    <w:rsid w:val="00110A50"/>
    <w:rsid w:val="00110C5E"/>
    <w:rsid w:val="00110C89"/>
    <w:rsid w:val="00110FE6"/>
    <w:rsid w:val="0011118B"/>
    <w:rsid w:val="001111EE"/>
    <w:rsid w:val="00111326"/>
    <w:rsid w:val="00111F70"/>
    <w:rsid w:val="001123A7"/>
    <w:rsid w:val="0011258D"/>
    <w:rsid w:val="00112A64"/>
    <w:rsid w:val="00113181"/>
    <w:rsid w:val="00113477"/>
    <w:rsid w:val="001138C0"/>
    <w:rsid w:val="001138F3"/>
    <w:rsid w:val="00113926"/>
    <w:rsid w:val="00113C92"/>
    <w:rsid w:val="00113E18"/>
    <w:rsid w:val="00113F74"/>
    <w:rsid w:val="00113FE3"/>
    <w:rsid w:val="0011405A"/>
    <w:rsid w:val="00114156"/>
    <w:rsid w:val="00114160"/>
    <w:rsid w:val="00114458"/>
    <w:rsid w:val="0011502D"/>
    <w:rsid w:val="001150C5"/>
    <w:rsid w:val="00115210"/>
    <w:rsid w:val="001152BD"/>
    <w:rsid w:val="001164CB"/>
    <w:rsid w:val="001168B8"/>
    <w:rsid w:val="0011768F"/>
    <w:rsid w:val="001205E1"/>
    <w:rsid w:val="0012126B"/>
    <w:rsid w:val="00121369"/>
    <w:rsid w:val="001221B5"/>
    <w:rsid w:val="00122278"/>
    <w:rsid w:val="00122371"/>
    <w:rsid w:val="00122900"/>
    <w:rsid w:val="00122936"/>
    <w:rsid w:val="00123AF0"/>
    <w:rsid w:val="001244FF"/>
    <w:rsid w:val="001247FA"/>
    <w:rsid w:val="001249B3"/>
    <w:rsid w:val="001249BE"/>
    <w:rsid w:val="00124E01"/>
    <w:rsid w:val="00125188"/>
    <w:rsid w:val="00125993"/>
    <w:rsid w:val="00125A75"/>
    <w:rsid w:val="00125B31"/>
    <w:rsid w:val="00125D43"/>
    <w:rsid w:val="00125D87"/>
    <w:rsid w:val="001263B1"/>
    <w:rsid w:val="001269C5"/>
    <w:rsid w:val="00126B77"/>
    <w:rsid w:val="001274F1"/>
    <w:rsid w:val="00127819"/>
    <w:rsid w:val="0012792C"/>
    <w:rsid w:val="00127935"/>
    <w:rsid w:val="00127D7D"/>
    <w:rsid w:val="00130361"/>
    <w:rsid w:val="001306CD"/>
    <w:rsid w:val="00131138"/>
    <w:rsid w:val="001313B0"/>
    <w:rsid w:val="0013168E"/>
    <w:rsid w:val="00131782"/>
    <w:rsid w:val="00131D37"/>
    <w:rsid w:val="00131DCF"/>
    <w:rsid w:val="001320C8"/>
    <w:rsid w:val="001324E7"/>
    <w:rsid w:val="00132CA4"/>
    <w:rsid w:val="00133991"/>
    <w:rsid w:val="00133B56"/>
    <w:rsid w:val="00133D52"/>
    <w:rsid w:val="00133F37"/>
    <w:rsid w:val="00134704"/>
    <w:rsid w:val="00134944"/>
    <w:rsid w:val="00134A8E"/>
    <w:rsid w:val="00134E18"/>
    <w:rsid w:val="001354B7"/>
    <w:rsid w:val="00135570"/>
    <w:rsid w:val="00135622"/>
    <w:rsid w:val="001356E5"/>
    <w:rsid w:val="0013573A"/>
    <w:rsid w:val="00135D04"/>
    <w:rsid w:val="0013632D"/>
    <w:rsid w:val="00136690"/>
    <w:rsid w:val="0013717F"/>
    <w:rsid w:val="001373DE"/>
    <w:rsid w:val="001376B1"/>
    <w:rsid w:val="00137705"/>
    <w:rsid w:val="00137CC5"/>
    <w:rsid w:val="001407BB"/>
    <w:rsid w:val="00140F12"/>
    <w:rsid w:val="00140F55"/>
    <w:rsid w:val="00141AE8"/>
    <w:rsid w:val="00142095"/>
    <w:rsid w:val="00142BF8"/>
    <w:rsid w:val="0014336D"/>
    <w:rsid w:val="00143B41"/>
    <w:rsid w:val="00143F4A"/>
    <w:rsid w:val="00144545"/>
    <w:rsid w:val="00144DAA"/>
    <w:rsid w:val="00145484"/>
    <w:rsid w:val="0014577B"/>
    <w:rsid w:val="00145BD6"/>
    <w:rsid w:val="00145C70"/>
    <w:rsid w:val="001463EC"/>
    <w:rsid w:val="001467B0"/>
    <w:rsid w:val="00146832"/>
    <w:rsid w:val="001468F2"/>
    <w:rsid w:val="00146924"/>
    <w:rsid w:val="00146ACA"/>
    <w:rsid w:val="00146D04"/>
    <w:rsid w:val="00147934"/>
    <w:rsid w:val="00147EAD"/>
    <w:rsid w:val="00150090"/>
    <w:rsid w:val="0015199E"/>
    <w:rsid w:val="00152780"/>
    <w:rsid w:val="00153316"/>
    <w:rsid w:val="0015419A"/>
    <w:rsid w:val="0015430F"/>
    <w:rsid w:val="001545D6"/>
    <w:rsid w:val="00154EE3"/>
    <w:rsid w:val="0015500A"/>
    <w:rsid w:val="00155144"/>
    <w:rsid w:val="00155472"/>
    <w:rsid w:val="001555E0"/>
    <w:rsid w:val="001558F1"/>
    <w:rsid w:val="00155B6D"/>
    <w:rsid w:val="00155D0A"/>
    <w:rsid w:val="00155EE2"/>
    <w:rsid w:val="00156641"/>
    <w:rsid w:val="001567CD"/>
    <w:rsid w:val="001569BA"/>
    <w:rsid w:val="00156EFF"/>
    <w:rsid w:val="00156F36"/>
    <w:rsid w:val="001577A2"/>
    <w:rsid w:val="00157C44"/>
    <w:rsid w:val="00157DE8"/>
    <w:rsid w:val="00157E61"/>
    <w:rsid w:val="00160011"/>
    <w:rsid w:val="00160023"/>
    <w:rsid w:val="00160061"/>
    <w:rsid w:val="00160698"/>
    <w:rsid w:val="00160CF7"/>
    <w:rsid w:val="00161146"/>
    <w:rsid w:val="001619B8"/>
    <w:rsid w:val="001633DA"/>
    <w:rsid w:val="001639C2"/>
    <w:rsid w:val="00163DDF"/>
    <w:rsid w:val="00163E43"/>
    <w:rsid w:val="00164977"/>
    <w:rsid w:val="00164C6B"/>
    <w:rsid w:val="00164D68"/>
    <w:rsid w:val="00164E25"/>
    <w:rsid w:val="00164F52"/>
    <w:rsid w:val="001650FE"/>
    <w:rsid w:val="0016579A"/>
    <w:rsid w:val="00165EAD"/>
    <w:rsid w:val="001666E8"/>
    <w:rsid w:val="00166877"/>
    <w:rsid w:val="0016791A"/>
    <w:rsid w:val="00167DC8"/>
    <w:rsid w:val="00170321"/>
    <w:rsid w:val="001705BE"/>
    <w:rsid w:val="00171335"/>
    <w:rsid w:val="001714B6"/>
    <w:rsid w:val="00171FA8"/>
    <w:rsid w:val="00172068"/>
    <w:rsid w:val="001727E7"/>
    <w:rsid w:val="001734A8"/>
    <w:rsid w:val="00173968"/>
    <w:rsid w:val="00173D3A"/>
    <w:rsid w:val="0017427D"/>
    <w:rsid w:val="0017486E"/>
    <w:rsid w:val="00174A9E"/>
    <w:rsid w:val="001751AD"/>
    <w:rsid w:val="001757B8"/>
    <w:rsid w:val="00176A0F"/>
    <w:rsid w:val="0017722C"/>
    <w:rsid w:val="00177664"/>
    <w:rsid w:val="0017771E"/>
    <w:rsid w:val="00177836"/>
    <w:rsid w:val="001778CD"/>
    <w:rsid w:val="00177A61"/>
    <w:rsid w:val="00177D42"/>
    <w:rsid w:val="00180335"/>
    <w:rsid w:val="001817E7"/>
    <w:rsid w:val="00181C36"/>
    <w:rsid w:val="00181FBC"/>
    <w:rsid w:val="00182462"/>
    <w:rsid w:val="00182AFD"/>
    <w:rsid w:val="00182CAE"/>
    <w:rsid w:val="00182F6F"/>
    <w:rsid w:val="00183427"/>
    <w:rsid w:val="00184D75"/>
    <w:rsid w:val="00185078"/>
    <w:rsid w:val="0018589E"/>
    <w:rsid w:val="00185B2C"/>
    <w:rsid w:val="00185B9F"/>
    <w:rsid w:val="0018673F"/>
    <w:rsid w:val="00186E9F"/>
    <w:rsid w:val="0018728D"/>
    <w:rsid w:val="001878DE"/>
    <w:rsid w:val="00190D02"/>
    <w:rsid w:val="00190F33"/>
    <w:rsid w:val="00191018"/>
    <w:rsid w:val="00191285"/>
    <w:rsid w:val="00191311"/>
    <w:rsid w:val="001913DF"/>
    <w:rsid w:val="00191492"/>
    <w:rsid w:val="00192770"/>
    <w:rsid w:val="0019287E"/>
    <w:rsid w:val="001930F3"/>
    <w:rsid w:val="00193CB3"/>
    <w:rsid w:val="00193F15"/>
    <w:rsid w:val="00194D97"/>
    <w:rsid w:val="001953E5"/>
    <w:rsid w:val="00195400"/>
    <w:rsid w:val="001954B3"/>
    <w:rsid w:val="001958A6"/>
    <w:rsid w:val="00195E6A"/>
    <w:rsid w:val="00195F6D"/>
    <w:rsid w:val="00196044"/>
    <w:rsid w:val="00196147"/>
    <w:rsid w:val="0019655E"/>
    <w:rsid w:val="00196972"/>
    <w:rsid w:val="00196B4B"/>
    <w:rsid w:val="00196C5B"/>
    <w:rsid w:val="00197282"/>
    <w:rsid w:val="001A03F7"/>
    <w:rsid w:val="001A0631"/>
    <w:rsid w:val="001A06D9"/>
    <w:rsid w:val="001A0939"/>
    <w:rsid w:val="001A0CAC"/>
    <w:rsid w:val="001A0FD0"/>
    <w:rsid w:val="001A1ABF"/>
    <w:rsid w:val="001A2047"/>
    <w:rsid w:val="001A25CD"/>
    <w:rsid w:val="001A2639"/>
    <w:rsid w:val="001A2719"/>
    <w:rsid w:val="001A37B6"/>
    <w:rsid w:val="001A45AD"/>
    <w:rsid w:val="001A4BB3"/>
    <w:rsid w:val="001A6380"/>
    <w:rsid w:val="001A729F"/>
    <w:rsid w:val="001A76E4"/>
    <w:rsid w:val="001A7844"/>
    <w:rsid w:val="001A7876"/>
    <w:rsid w:val="001A7895"/>
    <w:rsid w:val="001A79B0"/>
    <w:rsid w:val="001A7B4D"/>
    <w:rsid w:val="001B0688"/>
    <w:rsid w:val="001B074F"/>
    <w:rsid w:val="001B111A"/>
    <w:rsid w:val="001B15CC"/>
    <w:rsid w:val="001B1FF4"/>
    <w:rsid w:val="001B23B4"/>
    <w:rsid w:val="001B2BA5"/>
    <w:rsid w:val="001B2E10"/>
    <w:rsid w:val="001B3038"/>
    <w:rsid w:val="001B3172"/>
    <w:rsid w:val="001B34E9"/>
    <w:rsid w:val="001B416B"/>
    <w:rsid w:val="001B4D08"/>
    <w:rsid w:val="001B4E25"/>
    <w:rsid w:val="001B5061"/>
    <w:rsid w:val="001B5466"/>
    <w:rsid w:val="001B5CA5"/>
    <w:rsid w:val="001B5DDE"/>
    <w:rsid w:val="001B62D0"/>
    <w:rsid w:val="001B65B0"/>
    <w:rsid w:val="001B687A"/>
    <w:rsid w:val="001B6950"/>
    <w:rsid w:val="001B6BFD"/>
    <w:rsid w:val="001B7065"/>
    <w:rsid w:val="001B742E"/>
    <w:rsid w:val="001B748C"/>
    <w:rsid w:val="001B7677"/>
    <w:rsid w:val="001B7C2F"/>
    <w:rsid w:val="001B7C46"/>
    <w:rsid w:val="001B7DF0"/>
    <w:rsid w:val="001C031B"/>
    <w:rsid w:val="001C0940"/>
    <w:rsid w:val="001C148A"/>
    <w:rsid w:val="001C17E9"/>
    <w:rsid w:val="001C18BE"/>
    <w:rsid w:val="001C1DC8"/>
    <w:rsid w:val="001C1F92"/>
    <w:rsid w:val="001C2CAD"/>
    <w:rsid w:val="001C2EE4"/>
    <w:rsid w:val="001C3046"/>
    <w:rsid w:val="001C3ACE"/>
    <w:rsid w:val="001C3D0B"/>
    <w:rsid w:val="001C3DB7"/>
    <w:rsid w:val="001C4500"/>
    <w:rsid w:val="001C4953"/>
    <w:rsid w:val="001C4C26"/>
    <w:rsid w:val="001C535E"/>
    <w:rsid w:val="001C6141"/>
    <w:rsid w:val="001C6951"/>
    <w:rsid w:val="001C7E0C"/>
    <w:rsid w:val="001D2AD9"/>
    <w:rsid w:val="001D2E0E"/>
    <w:rsid w:val="001D2EA1"/>
    <w:rsid w:val="001D3DEB"/>
    <w:rsid w:val="001D4096"/>
    <w:rsid w:val="001D4865"/>
    <w:rsid w:val="001D4E9B"/>
    <w:rsid w:val="001D559C"/>
    <w:rsid w:val="001D6930"/>
    <w:rsid w:val="001D6A97"/>
    <w:rsid w:val="001D6EA3"/>
    <w:rsid w:val="001D73D5"/>
    <w:rsid w:val="001E014D"/>
    <w:rsid w:val="001E0354"/>
    <w:rsid w:val="001E03FE"/>
    <w:rsid w:val="001E0479"/>
    <w:rsid w:val="001E065A"/>
    <w:rsid w:val="001E0910"/>
    <w:rsid w:val="001E11BE"/>
    <w:rsid w:val="001E14A2"/>
    <w:rsid w:val="001E1A52"/>
    <w:rsid w:val="001E1DA3"/>
    <w:rsid w:val="001E2164"/>
    <w:rsid w:val="001E23AB"/>
    <w:rsid w:val="001E2BD0"/>
    <w:rsid w:val="001E2D2D"/>
    <w:rsid w:val="001E3D44"/>
    <w:rsid w:val="001E5BBB"/>
    <w:rsid w:val="001E603D"/>
    <w:rsid w:val="001E6095"/>
    <w:rsid w:val="001E65E6"/>
    <w:rsid w:val="001E68C5"/>
    <w:rsid w:val="001E6E7B"/>
    <w:rsid w:val="001E7465"/>
    <w:rsid w:val="001E7791"/>
    <w:rsid w:val="001E798B"/>
    <w:rsid w:val="001E7BDD"/>
    <w:rsid w:val="001E7C03"/>
    <w:rsid w:val="001F00AD"/>
    <w:rsid w:val="001F0432"/>
    <w:rsid w:val="001F061D"/>
    <w:rsid w:val="001F0AD8"/>
    <w:rsid w:val="001F0FBD"/>
    <w:rsid w:val="001F0FC5"/>
    <w:rsid w:val="001F113D"/>
    <w:rsid w:val="001F206A"/>
    <w:rsid w:val="001F262F"/>
    <w:rsid w:val="001F2636"/>
    <w:rsid w:val="001F26F9"/>
    <w:rsid w:val="001F27C7"/>
    <w:rsid w:val="001F2EF2"/>
    <w:rsid w:val="001F3893"/>
    <w:rsid w:val="001F4573"/>
    <w:rsid w:val="001F4889"/>
    <w:rsid w:val="001F4DDF"/>
    <w:rsid w:val="001F5178"/>
    <w:rsid w:val="001F525A"/>
    <w:rsid w:val="001F5592"/>
    <w:rsid w:val="001F57D9"/>
    <w:rsid w:val="001F5B49"/>
    <w:rsid w:val="001F5BD9"/>
    <w:rsid w:val="001F5C43"/>
    <w:rsid w:val="001F5F42"/>
    <w:rsid w:val="001F6399"/>
    <w:rsid w:val="001F63C6"/>
    <w:rsid w:val="001F737C"/>
    <w:rsid w:val="001F73CB"/>
    <w:rsid w:val="001F7896"/>
    <w:rsid w:val="001F7AD5"/>
    <w:rsid w:val="0020044B"/>
    <w:rsid w:val="002004F7"/>
    <w:rsid w:val="00200B0E"/>
    <w:rsid w:val="00200C78"/>
    <w:rsid w:val="00200DB1"/>
    <w:rsid w:val="00200DE2"/>
    <w:rsid w:val="00200E22"/>
    <w:rsid w:val="00200EFE"/>
    <w:rsid w:val="002011D7"/>
    <w:rsid w:val="002015C1"/>
    <w:rsid w:val="002015F2"/>
    <w:rsid w:val="002017A6"/>
    <w:rsid w:val="0020182E"/>
    <w:rsid w:val="00202384"/>
    <w:rsid w:val="00202B5D"/>
    <w:rsid w:val="00202FE3"/>
    <w:rsid w:val="0020322D"/>
    <w:rsid w:val="002035BB"/>
    <w:rsid w:val="00203C03"/>
    <w:rsid w:val="00203E2F"/>
    <w:rsid w:val="00203F81"/>
    <w:rsid w:val="002042F4"/>
    <w:rsid w:val="00204BCA"/>
    <w:rsid w:val="00204E5D"/>
    <w:rsid w:val="00205552"/>
    <w:rsid w:val="0020598B"/>
    <w:rsid w:val="00206A8B"/>
    <w:rsid w:val="00207B84"/>
    <w:rsid w:val="002103E5"/>
    <w:rsid w:val="00210B62"/>
    <w:rsid w:val="0021123C"/>
    <w:rsid w:val="00211E9D"/>
    <w:rsid w:val="00211F87"/>
    <w:rsid w:val="002121ED"/>
    <w:rsid w:val="00212224"/>
    <w:rsid w:val="002129EF"/>
    <w:rsid w:val="0021349C"/>
    <w:rsid w:val="0021352E"/>
    <w:rsid w:val="00213604"/>
    <w:rsid w:val="00213694"/>
    <w:rsid w:val="00213A95"/>
    <w:rsid w:val="00213C4E"/>
    <w:rsid w:val="00214BD2"/>
    <w:rsid w:val="00214D29"/>
    <w:rsid w:val="002152E7"/>
    <w:rsid w:val="002154A9"/>
    <w:rsid w:val="00215757"/>
    <w:rsid w:val="00215AA6"/>
    <w:rsid w:val="00215DD8"/>
    <w:rsid w:val="002165E0"/>
    <w:rsid w:val="00216792"/>
    <w:rsid w:val="00216A54"/>
    <w:rsid w:val="00217336"/>
    <w:rsid w:val="0021737E"/>
    <w:rsid w:val="00217C4A"/>
    <w:rsid w:val="00217DFD"/>
    <w:rsid w:val="00217E31"/>
    <w:rsid w:val="002202ED"/>
    <w:rsid w:val="002204FC"/>
    <w:rsid w:val="00220558"/>
    <w:rsid w:val="002212AD"/>
    <w:rsid w:val="00221390"/>
    <w:rsid w:val="0022185E"/>
    <w:rsid w:val="00221E5A"/>
    <w:rsid w:val="00222140"/>
    <w:rsid w:val="002221E3"/>
    <w:rsid w:val="002226D7"/>
    <w:rsid w:val="00222879"/>
    <w:rsid w:val="00222DF7"/>
    <w:rsid w:val="00223852"/>
    <w:rsid w:val="00223940"/>
    <w:rsid w:val="00224451"/>
    <w:rsid w:val="00225A4A"/>
    <w:rsid w:val="002268BE"/>
    <w:rsid w:val="00226A1A"/>
    <w:rsid w:val="00226D92"/>
    <w:rsid w:val="0022753A"/>
    <w:rsid w:val="00227A67"/>
    <w:rsid w:val="00227B6B"/>
    <w:rsid w:val="00227CEB"/>
    <w:rsid w:val="00227F49"/>
    <w:rsid w:val="0023047B"/>
    <w:rsid w:val="0023064E"/>
    <w:rsid w:val="0023072F"/>
    <w:rsid w:val="0023073A"/>
    <w:rsid w:val="00230A96"/>
    <w:rsid w:val="002310E7"/>
    <w:rsid w:val="002315D7"/>
    <w:rsid w:val="0023186F"/>
    <w:rsid w:val="00232273"/>
    <w:rsid w:val="002325D0"/>
    <w:rsid w:val="00232977"/>
    <w:rsid w:val="0023328C"/>
    <w:rsid w:val="002334F9"/>
    <w:rsid w:val="00233538"/>
    <w:rsid w:val="00233CC7"/>
    <w:rsid w:val="00233FF0"/>
    <w:rsid w:val="00234361"/>
    <w:rsid w:val="00235884"/>
    <w:rsid w:val="00236D8B"/>
    <w:rsid w:val="00236ED0"/>
    <w:rsid w:val="00237369"/>
    <w:rsid w:val="002373A2"/>
    <w:rsid w:val="00237599"/>
    <w:rsid w:val="0023792E"/>
    <w:rsid w:val="00237A1C"/>
    <w:rsid w:val="002401C4"/>
    <w:rsid w:val="00240471"/>
    <w:rsid w:val="002419FC"/>
    <w:rsid w:val="00242152"/>
    <w:rsid w:val="0024217B"/>
    <w:rsid w:val="002422A9"/>
    <w:rsid w:val="00242F80"/>
    <w:rsid w:val="0024324F"/>
    <w:rsid w:val="002436C1"/>
    <w:rsid w:val="002437DE"/>
    <w:rsid w:val="0024415A"/>
    <w:rsid w:val="002450CD"/>
    <w:rsid w:val="002455EA"/>
    <w:rsid w:val="00245624"/>
    <w:rsid w:val="00245669"/>
    <w:rsid w:val="002460FB"/>
    <w:rsid w:val="00247220"/>
    <w:rsid w:val="00247C23"/>
    <w:rsid w:val="00250B87"/>
    <w:rsid w:val="0025135D"/>
    <w:rsid w:val="002513D1"/>
    <w:rsid w:val="00251AE3"/>
    <w:rsid w:val="00251E34"/>
    <w:rsid w:val="00252362"/>
    <w:rsid w:val="00253F2E"/>
    <w:rsid w:val="0025411D"/>
    <w:rsid w:val="002542B0"/>
    <w:rsid w:val="00254A2E"/>
    <w:rsid w:val="00255325"/>
    <w:rsid w:val="00255BDA"/>
    <w:rsid w:val="00255DB4"/>
    <w:rsid w:val="002562DB"/>
    <w:rsid w:val="00256D5F"/>
    <w:rsid w:val="00256E4B"/>
    <w:rsid w:val="00257085"/>
    <w:rsid w:val="00257F09"/>
    <w:rsid w:val="00260022"/>
    <w:rsid w:val="002600A5"/>
    <w:rsid w:val="00260188"/>
    <w:rsid w:val="002606E7"/>
    <w:rsid w:val="0026094A"/>
    <w:rsid w:val="0026124E"/>
    <w:rsid w:val="00261919"/>
    <w:rsid w:val="00261A24"/>
    <w:rsid w:val="00261DF2"/>
    <w:rsid w:val="002628E9"/>
    <w:rsid w:val="0026300C"/>
    <w:rsid w:val="002635F6"/>
    <w:rsid w:val="00264633"/>
    <w:rsid w:val="00264CB8"/>
    <w:rsid w:val="00264F4B"/>
    <w:rsid w:val="00265E3F"/>
    <w:rsid w:val="0026611F"/>
    <w:rsid w:val="00266A7E"/>
    <w:rsid w:val="00266C46"/>
    <w:rsid w:val="002671E8"/>
    <w:rsid w:val="00267369"/>
    <w:rsid w:val="00267E3F"/>
    <w:rsid w:val="00270597"/>
    <w:rsid w:val="00270602"/>
    <w:rsid w:val="002709BD"/>
    <w:rsid w:val="00270FAD"/>
    <w:rsid w:val="002717E7"/>
    <w:rsid w:val="00271E4F"/>
    <w:rsid w:val="002720CC"/>
    <w:rsid w:val="00272AD7"/>
    <w:rsid w:val="002730E8"/>
    <w:rsid w:val="002733B8"/>
    <w:rsid w:val="00273840"/>
    <w:rsid w:val="00273BCD"/>
    <w:rsid w:val="00273F89"/>
    <w:rsid w:val="0027423C"/>
    <w:rsid w:val="002753A9"/>
    <w:rsid w:val="00275844"/>
    <w:rsid w:val="00275C40"/>
    <w:rsid w:val="00275DAE"/>
    <w:rsid w:val="00275F17"/>
    <w:rsid w:val="0027631D"/>
    <w:rsid w:val="00276A31"/>
    <w:rsid w:val="002777F4"/>
    <w:rsid w:val="00277B20"/>
    <w:rsid w:val="00277BC3"/>
    <w:rsid w:val="0028039A"/>
    <w:rsid w:val="00281016"/>
    <w:rsid w:val="00281337"/>
    <w:rsid w:val="002813C7"/>
    <w:rsid w:val="00281DBD"/>
    <w:rsid w:val="002820A0"/>
    <w:rsid w:val="00282575"/>
    <w:rsid w:val="002829DB"/>
    <w:rsid w:val="00282F5B"/>
    <w:rsid w:val="00283388"/>
    <w:rsid w:val="00283EAB"/>
    <w:rsid w:val="002845C9"/>
    <w:rsid w:val="0028465F"/>
    <w:rsid w:val="00284CA2"/>
    <w:rsid w:val="002850CA"/>
    <w:rsid w:val="002851AA"/>
    <w:rsid w:val="00285291"/>
    <w:rsid w:val="00285561"/>
    <w:rsid w:val="002855C3"/>
    <w:rsid w:val="002855CF"/>
    <w:rsid w:val="00285B27"/>
    <w:rsid w:val="00287697"/>
    <w:rsid w:val="002900F8"/>
    <w:rsid w:val="00290AFD"/>
    <w:rsid w:val="00291208"/>
    <w:rsid w:val="00291B4B"/>
    <w:rsid w:val="00291DD0"/>
    <w:rsid w:val="00291E53"/>
    <w:rsid w:val="00292021"/>
    <w:rsid w:val="002921C7"/>
    <w:rsid w:val="002922D7"/>
    <w:rsid w:val="002927FF"/>
    <w:rsid w:val="0029285F"/>
    <w:rsid w:val="00292C24"/>
    <w:rsid w:val="00293D85"/>
    <w:rsid w:val="002944E0"/>
    <w:rsid w:val="00294745"/>
    <w:rsid w:val="00294A3E"/>
    <w:rsid w:val="00294F7E"/>
    <w:rsid w:val="002950F8"/>
    <w:rsid w:val="002953B1"/>
    <w:rsid w:val="0029546E"/>
    <w:rsid w:val="00295724"/>
    <w:rsid w:val="00295B07"/>
    <w:rsid w:val="00295BA4"/>
    <w:rsid w:val="00295CE6"/>
    <w:rsid w:val="00295E19"/>
    <w:rsid w:val="00296483"/>
    <w:rsid w:val="00296C31"/>
    <w:rsid w:val="00296C66"/>
    <w:rsid w:val="00296DC0"/>
    <w:rsid w:val="00297D4B"/>
    <w:rsid w:val="00297F55"/>
    <w:rsid w:val="002A0153"/>
    <w:rsid w:val="002A0346"/>
    <w:rsid w:val="002A0515"/>
    <w:rsid w:val="002A0B55"/>
    <w:rsid w:val="002A0F3C"/>
    <w:rsid w:val="002A1427"/>
    <w:rsid w:val="002A1C11"/>
    <w:rsid w:val="002A229C"/>
    <w:rsid w:val="002A23EB"/>
    <w:rsid w:val="002A291C"/>
    <w:rsid w:val="002A29B7"/>
    <w:rsid w:val="002A2CD8"/>
    <w:rsid w:val="002A2EB1"/>
    <w:rsid w:val="002A3240"/>
    <w:rsid w:val="002A3A6D"/>
    <w:rsid w:val="002A4195"/>
    <w:rsid w:val="002A4383"/>
    <w:rsid w:val="002A4CD3"/>
    <w:rsid w:val="002A5FC3"/>
    <w:rsid w:val="002A5FEA"/>
    <w:rsid w:val="002A6641"/>
    <w:rsid w:val="002A7133"/>
    <w:rsid w:val="002A730E"/>
    <w:rsid w:val="002A7C26"/>
    <w:rsid w:val="002B0819"/>
    <w:rsid w:val="002B093F"/>
    <w:rsid w:val="002B0C52"/>
    <w:rsid w:val="002B0E44"/>
    <w:rsid w:val="002B0EF7"/>
    <w:rsid w:val="002B1226"/>
    <w:rsid w:val="002B1465"/>
    <w:rsid w:val="002B2072"/>
    <w:rsid w:val="002B3505"/>
    <w:rsid w:val="002B435A"/>
    <w:rsid w:val="002B46EF"/>
    <w:rsid w:val="002B50AE"/>
    <w:rsid w:val="002B601D"/>
    <w:rsid w:val="002B652F"/>
    <w:rsid w:val="002B668A"/>
    <w:rsid w:val="002B6878"/>
    <w:rsid w:val="002B6EBC"/>
    <w:rsid w:val="002B6F45"/>
    <w:rsid w:val="002B741C"/>
    <w:rsid w:val="002B74B5"/>
    <w:rsid w:val="002B7700"/>
    <w:rsid w:val="002B79A4"/>
    <w:rsid w:val="002B7A8E"/>
    <w:rsid w:val="002C026E"/>
    <w:rsid w:val="002C04D4"/>
    <w:rsid w:val="002C1334"/>
    <w:rsid w:val="002C151D"/>
    <w:rsid w:val="002C1559"/>
    <w:rsid w:val="002C159B"/>
    <w:rsid w:val="002C2081"/>
    <w:rsid w:val="002C22D0"/>
    <w:rsid w:val="002C2BC0"/>
    <w:rsid w:val="002C2F29"/>
    <w:rsid w:val="002C3053"/>
    <w:rsid w:val="002C3060"/>
    <w:rsid w:val="002C355C"/>
    <w:rsid w:val="002C3A97"/>
    <w:rsid w:val="002C3AB9"/>
    <w:rsid w:val="002C3D03"/>
    <w:rsid w:val="002C3DFA"/>
    <w:rsid w:val="002C41D5"/>
    <w:rsid w:val="002C4352"/>
    <w:rsid w:val="002C47CF"/>
    <w:rsid w:val="002C50B4"/>
    <w:rsid w:val="002C537C"/>
    <w:rsid w:val="002C5791"/>
    <w:rsid w:val="002C5BC1"/>
    <w:rsid w:val="002C60D1"/>
    <w:rsid w:val="002C6DD9"/>
    <w:rsid w:val="002C6E92"/>
    <w:rsid w:val="002D012B"/>
    <w:rsid w:val="002D04C1"/>
    <w:rsid w:val="002D0D0E"/>
    <w:rsid w:val="002D0F55"/>
    <w:rsid w:val="002D1A73"/>
    <w:rsid w:val="002D1C9C"/>
    <w:rsid w:val="002D1EDD"/>
    <w:rsid w:val="002D2871"/>
    <w:rsid w:val="002D2937"/>
    <w:rsid w:val="002D2F39"/>
    <w:rsid w:val="002D3151"/>
    <w:rsid w:val="002D35FE"/>
    <w:rsid w:val="002D3700"/>
    <w:rsid w:val="002D3C97"/>
    <w:rsid w:val="002D3F40"/>
    <w:rsid w:val="002D4A66"/>
    <w:rsid w:val="002D4D6C"/>
    <w:rsid w:val="002D4F5E"/>
    <w:rsid w:val="002D5694"/>
    <w:rsid w:val="002D65ED"/>
    <w:rsid w:val="002D67F9"/>
    <w:rsid w:val="002D694D"/>
    <w:rsid w:val="002D6FBA"/>
    <w:rsid w:val="002D704B"/>
    <w:rsid w:val="002D7650"/>
    <w:rsid w:val="002D7DB7"/>
    <w:rsid w:val="002E02FF"/>
    <w:rsid w:val="002E0509"/>
    <w:rsid w:val="002E0C5D"/>
    <w:rsid w:val="002E141E"/>
    <w:rsid w:val="002E1545"/>
    <w:rsid w:val="002E1E46"/>
    <w:rsid w:val="002E28A5"/>
    <w:rsid w:val="002E2BA7"/>
    <w:rsid w:val="002E35A7"/>
    <w:rsid w:val="002E3857"/>
    <w:rsid w:val="002E3B09"/>
    <w:rsid w:val="002E3B24"/>
    <w:rsid w:val="002E3F29"/>
    <w:rsid w:val="002E4952"/>
    <w:rsid w:val="002E51A2"/>
    <w:rsid w:val="002E53C6"/>
    <w:rsid w:val="002E5CDA"/>
    <w:rsid w:val="002E60C7"/>
    <w:rsid w:val="002E622D"/>
    <w:rsid w:val="002E66A6"/>
    <w:rsid w:val="002E6A02"/>
    <w:rsid w:val="002E6B49"/>
    <w:rsid w:val="002E7189"/>
    <w:rsid w:val="002E7600"/>
    <w:rsid w:val="002E7815"/>
    <w:rsid w:val="002F0175"/>
    <w:rsid w:val="002F10E1"/>
    <w:rsid w:val="002F1172"/>
    <w:rsid w:val="002F13B1"/>
    <w:rsid w:val="002F1556"/>
    <w:rsid w:val="002F1700"/>
    <w:rsid w:val="002F184D"/>
    <w:rsid w:val="002F1C29"/>
    <w:rsid w:val="002F22D6"/>
    <w:rsid w:val="002F2459"/>
    <w:rsid w:val="002F2F23"/>
    <w:rsid w:val="002F2F49"/>
    <w:rsid w:val="002F3188"/>
    <w:rsid w:val="002F3B14"/>
    <w:rsid w:val="002F404C"/>
    <w:rsid w:val="002F414F"/>
    <w:rsid w:val="002F4C9D"/>
    <w:rsid w:val="002F4D64"/>
    <w:rsid w:val="002F4F33"/>
    <w:rsid w:val="002F5144"/>
    <w:rsid w:val="002F594E"/>
    <w:rsid w:val="002F59F8"/>
    <w:rsid w:val="002F6BB4"/>
    <w:rsid w:val="002F7129"/>
    <w:rsid w:val="002F728D"/>
    <w:rsid w:val="002F7760"/>
    <w:rsid w:val="002F7C05"/>
    <w:rsid w:val="00300EF3"/>
    <w:rsid w:val="00301345"/>
    <w:rsid w:val="00301677"/>
    <w:rsid w:val="00301684"/>
    <w:rsid w:val="003017D1"/>
    <w:rsid w:val="00301C50"/>
    <w:rsid w:val="00301C76"/>
    <w:rsid w:val="0030204F"/>
    <w:rsid w:val="003024A3"/>
    <w:rsid w:val="003026D6"/>
    <w:rsid w:val="003033DF"/>
    <w:rsid w:val="00303714"/>
    <w:rsid w:val="00303A91"/>
    <w:rsid w:val="00303B26"/>
    <w:rsid w:val="003045D2"/>
    <w:rsid w:val="00305D84"/>
    <w:rsid w:val="00306111"/>
    <w:rsid w:val="0030621E"/>
    <w:rsid w:val="003068C2"/>
    <w:rsid w:val="0030690C"/>
    <w:rsid w:val="00306B9C"/>
    <w:rsid w:val="00306D9E"/>
    <w:rsid w:val="00306DD4"/>
    <w:rsid w:val="00306ED4"/>
    <w:rsid w:val="00307B7E"/>
    <w:rsid w:val="00307FCB"/>
    <w:rsid w:val="003104F3"/>
    <w:rsid w:val="00310B41"/>
    <w:rsid w:val="00311181"/>
    <w:rsid w:val="003117B6"/>
    <w:rsid w:val="00311E43"/>
    <w:rsid w:val="00311F72"/>
    <w:rsid w:val="00312034"/>
    <w:rsid w:val="00312401"/>
    <w:rsid w:val="00312C58"/>
    <w:rsid w:val="00312FA3"/>
    <w:rsid w:val="00313643"/>
    <w:rsid w:val="00313C0B"/>
    <w:rsid w:val="00313D62"/>
    <w:rsid w:val="0031476B"/>
    <w:rsid w:val="0031483F"/>
    <w:rsid w:val="0031491B"/>
    <w:rsid w:val="00314C28"/>
    <w:rsid w:val="00315CA4"/>
    <w:rsid w:val="0031626A"/>
    <w:rsid w:val="003164EA"/>
    <w:rsid w:val="00316BB8"/>
    <w:rsid w:val="00317447"/>
    <w:rsid w:val="00317C80"/>
    <w:rsid w:val="00320AB2"/>
    <w:rsid w:val="00320E74"/>
    <w:rsid w:val="00321147"/>
    <w:rsid w:val="00321EEF"/>
    <w:rsid w:val="00321F9C"/>
    <w:rsid w:val="003226F9"/>
    <w:rsid w:val="00322815"/>
    <w:rsid w:val="003231EF"/>
    <w:rsid w:val="00323B38"/>
    <w:rsid w:val="00323C1C"/>
    <w:rsid w:val="00324755"/>
    <w:rsid w:val="003247AF"/>
    <w:rsid w:val="00324D19"/>
    <w:rsid w:val="00324E75"/>
    <w:rsid w:val="0032501D"/>
    <w:rsid w:val="003253BE"/>
    <w:rsid w:val="00325564"/>
    <w:rsid w:val="0032558C"/>
    <w:rsid w:val="0032580C"/>
    <w:rsid w:val="00326794"/>
    <w:rsid w:val="00326970"/>
    <w:rsid w:val="003269BC"/>
    <w:rsid w:val="003269E7"/>
    <w:rsid w:val="00327019"/>
    <w:rsid w:val="00327346"/>
    <w:rsid w:val="00327368"/>
    <w:rsid w:val="003279C0"/>
    <w:rsid w:val="00327B2C"/>
    <w:rsid w:val="00327CCF"/>
    <w:rsid w:val="0033083B"/>
    <w:rsid w:val="00330AB2"/>
    <w:rsid w:val="00330D06"/>
    <w:rsid w:val="0033130F"/>
    <w:rsid w:val="00331414"/>
    <w:rsid w:val="003314BB"/>
    <w:rsid w:val="00331752"/>
    <w:rsid w:val="0033197E"/>
    <w:rsid w:val="00331E23"/>
    <w:rsid w:val="00331FC9"/>
    <w:rsid w:val="003320DD"/>
    <w:rsid w:val="00333628"/>
    <w:rsid w:val="00333651"/>
    <w:rsid w:val="00333E87"/>
    <w:rsid w:val="00333F01"/>
    <w:rsid w:val="00334465"/>
    <w:rsid w:val="003348E4"/>
    <w:rsid w:val="00334F3D"/>
    <w:rsid w:val="00335261"/>
    <w:rsid w:val="003355AF"/>
    <w:rsid w:val="003357F5"/>
    <w:rsid w:val="00335C7B"/>
    <w:rsid w:val="00336993"/>
    <w:rsid w:val="003369F5"/>
    <w:rsid w:val="00336AFB"/>
    <w:rsid w:val="00336C24"/>
    <w:rsid w:val="00336E6C"/>
    <w:rsid w:val="003371DB"/>
    <w:rsid w:val="00337211"/>
    <w:rsid w:val="00337682"/>
    <w:rsid w:val="00337A39"/>
    <w:rsid w:val="00337A8C"/>
    <w:rsid w:val="003405F0"/>
    <w:rsid w:val="00340F2B"/>
    <w:rsid w:val="00341177"/>
    <w:rsid w:val="00341C4D"/>
    <w:rsid w:val="00341D94"/>
    <w:rsid w:val="0034223E"/>
    <w:rsid w:val="003422B6"/>
    <w:rsid w:val="00342B0D"/>
    <w:rsid w:val="00342D34"/>
    <w:rsid w:val="00343C24"/>
    <w:rsid w:val="00343F79"/>
    <w:rsid w:val="003447CC"/>
    <w:rsid w:val="00344BFC"/>
    <w:rsid w:val="00345012"/>
    <w:rsid w:val="003455BF"/>
    <w:rsid w:val="00345BC0"/>
    <w:rsid w:val="0034657E"/>
    <w:rsid w:val="00346632"/>
    <w:rsid w:val="00346BD7"/>
    <w:rsid w:val="003472BF"/>
    <w:rsid w:val="00347413"/>
    <w:rsid w:val="0034741C"/>
    <w:rsid w:val="003477FC"/>
    <w:rsid w:val="003479C3"/>
    <w:rsid w:val="0035016E"/>
    <w:rsid w:val="0035068E"/>
    <w:rsid w:val="00350690"/>
    <w:rsid w:val="003506BE"/>
    <w:rsid w:val="00350B7F"/>
    <w:rsid w:val="00350DF3"/>
    <w:rsid w:val="0035129A"/>
    <w:rsid w:val="00351BF1"/>
    <w:rsid w:val="003520B9"/>
    <w:rsid w:val="00352301"/>
    <w:rsid w:val="0035232C"/>
    <w:rsid w:val="00352776"/>
    <w:rsid w:val="00352A43"/>
    <w:rsid w:val="003535DB"/>
    <w:rsid w:val="00353CB5"/>
    <w:rsid w:val="00353E1E"/>
    <w:rsid w:val="0035487A"/>
    <w:rsid w:val="00355F82"/>
    <w:rsid w:val="003565D6"/>
    <w:rsid w:val="003566D2"/>
    <w:rsid w:val="00356AB7"/>
    <w:rsid w:val="003573E0"/>
    <w:rsid w:val="00357782"/>
    <w:rsid w:val="003578DC"/>
    <w:rsid w:val="0036036B"/>
    <w:rsid w:val="0036060F"/>
    <w:rsid w:val="00360A57"/>
    <w:rsid w:val="00360BCC"/>
    <w:rsid w:val="003613E3"/>
    <w:rsid w:val="003618D6"/>
    <w:rsid w:val="00361AE2"/>
    <w:rsid w:val="00361E5B"/>
    <w:rsid w:val="003620B4"/>
    <w:rsid w:val="003626B5"/>
    <w:rsid w:val="00362C5A"/>
    <w:rsid w:val="003630F0"/>
    <w:rsid w:val="003633DE"/>
    <w:rsid w:val="003635AA"/>
    <w:rsid w:val="003637D8"/>
    <w:rsid w:val="00363B25"/>
    <w:rsid w:val="00363C16"/>
    <w:rsid w:val="003649C8"/>
    <w:rsid w:val="0036513B"/>
    <w:rsid w:val="003654B7"/>
    <w:rsid w:val="003656EB"/>
    <w:rsid w:val="00365731"/>
    <w:rsid w:val="00365A29"/>
    <w:rsid w:val="00366668"/>
    <w:rsid w:val="00366C0A"/>
    <w:rsid w:val="00367103"/>
    <w:rsid w:val="00367568"/>
    <w:rsid w:val="00367AAD"/>
    <w:rsid w:val="00367CF0"/>
    <w:rsid w:val="00367DC5"/>
    <w:rsid w:val="00370556"/>
    <w:rsid w:val="003706AE"/>
    <w:rsid w:val="00370ADE"/>
    <w:rsid w:val="00370CCF"/>
    <w:rsid w:val="00370DBC"/>
    <w:rsid w:val="00370FAB"/>
    <w:rsid w:val="0037106F"/>
    <w:rsid w:val="003715C5"/>
    <w:rsid w:val="00371723"/>
    <w:rsid w:val="00371B46"/>
    <w:rsid w:val="003720AE"/>
    <w:rsid w:val="0037241F"/>
    <w:rsid w:val="00372772"/>
    <w:rsid w:val="003738C0"/>
    <w:rsid w:val="00373925"/>
    <w:rsid w:val="0037397B"/>
    <w:rsid w:val="00373AD0"/>
    <w:rsid w:val="00373DF0"/>
    <w:rsid w:val="0037442E"/>
    <w:rsid w:val="0037456A"/>
    <w:rsid w:val="00374694"/>
    <w:rsid w:val="003746BB"/>
    <w:rsid w:val="00374713"/>
    <w:rsid w:val="003764B6"/>
    <w:rsid w:val="003766E3"/>
    <w:rsid w:val="0037774A"/>
    <w:rsid w:val="00380371"/>
    <w:rsid w:val="00380620"/>
    <w:rsid w:val="0038090E"/>
    <w:rsid w:val="00380BF7"/>
    <w:rsid w:val="00380C05"/>
    <w:rsid w:val="00380DCC"/>
    <w:rsid w:val="00380FC5"/>
    <w:rsid w:val="0038139C"/>
    <w:rsid w:val="0038141E"/>
    <w:rsid w:val="00381649"/>
    <w:rsid w:val="00381912"/>
    <w:rsid w:val="003824BC"/>
    <w:rsid w:val="00382555"/>
    <w:rsid w:val="003825BE"/>
    <w:rsid w:val="003826D9"/>
    <w:rsid w:val="00383BD1"/>
    <w:rsid w:val="00384790"/>
    <w:rsid w:val="00385564"/>
    <w:rsid w:val="00386339"/>
    <w:rsid w:val="00386540"/>
    <w:rsid w:val="003874D1"/>
    <w:rsid w:val="00387B4B"/>
    <w:rsid w:val="003901DE"/>
    <w:rsid w:val="0039030E"/>
    <w:rsid w:val="00390A54"/>
    <w:rsid w:val="00391B48"/>
    <w:rsid w:val="00391F49"/>
    <w:rsid w:val="00391F4C"/>
    <w:rsid w:val="00392C51"/>
    <w:rsid w:val="00392C90"/>
    <w:rsid w:val="00392CF9"/>
    <w:rsid w:val="00392DEE"/>
    <w:rsid w:val="003931F7"/>
    <w:rsid w:val="0039341D"/>
    <w:rsid w:val="00393BA1"/>
    <w:rsid w:val="003941DC"/>
    <w:rsid w:val="00394818"/>
    <w:rsid w:val="00394945"/>
    <w:rsid w:val="00394A46"/>
    <w:rsid w:val="00394BBF"/>
    <w:rsid w:val="0039614D"/>
    <w:rsid w:val="003962A8"/>
    <w:rsid w:val="003967EC"/>
    <w:rsid w:val="00397665"/>
    <w:rsid w:val="003A006F"/>
    <w:rsid w:val="003A0680"/>
    <w:rsid w:val="003A13AE"/>
    <w:rsid w:val="003A2BCB"/>
    <w:rsid w:val="003A2F4D"/>
    <w:rsid w:val="003A3050"/>
    <w:rsid w:val="003A3605"/>
    <w:rsid w:val="003A3EF3"/>
    <w:rsid w:val="003A4827"/>
    <w:rsid w:val="003A4FBA"/>
    <w:rsid w:val="003A5040"/>
    <w:rsid w:val="003A51CF"/>
    <w:rsid w:val="003A551F"/>
    <w:rsid w:val="003A6238"/>
    <w:rsid w:val="003A6826"/>
    <w:rsid w:val="003A68FD"/>
    <w:rsid w:val="003A6942"/>
    <w:rsid w:val="003A6F93"/>
    <w:rsid w:val="003A721F"/>
    <w:rsid w:val="003A7F37"/>
    <w:rsid w:val="003B014C"/>
    <w:rsid w:val="003B0914"/>
    <w:rsid w:val="003B0CED"/>
    <w:rsid w:val="003B1416"/>
    <w:rsid w:val="003B2A17"/>
    <w:rsid w:val="003B2F26"/>
    <w:rsid w:val="003B3490"/>
    <w:rsid w:val="003B3D0E"/>
    <w:rsid w:val="003B42A8"/>
    <w:rsid w:val="003B439F"/>
    <w:rsid w:val="003B46BE"/>
    <w:rsid w:val="003B507D"/>
    <w:rsid w:val="003B50CC"/>
    <w:rsid w:val="003B5A30"/>
    <w:rsid w:val="003B5E14"/>
    <w:rsid w:val="003B71B5"/>
    <w:rsid w:val="003B77FB"/>
    <w:rsid w:val="003B7CF2"/>
    <w:rsid w:val="003C0322"/>
    <w:rsid w:val="003C0BA9"/>
    <w:rsid w:val="003C12A7"/>
    <w:rsid w:val="003C135D"/>
    <w:rsid w:val="003C1D9F"/>
    <w:rsid w:val="003C2A95"/>
    <w:rsid w:val="003C33B1"/>
    <w:rsid w:val="003C3BB4"/>
    <w:rsid w:val="003C4218"/>
    <w:rsid w:val="003C42DC"/>
    <w:rsid w:val="003C4426"/>
    <w:rsid w:val="003C4573"/>
    <w:rsid w:val="003C4947"/>
    <w:rsid w:val="003C4ADA"/>
    <w:rsid w:val="003C4DA2"/>
    <w:rsid w:val="003C5060"/>
    <w:rsid w:val="003C5254"/>
    <w:rsid w:val="003C593B"/>
    <w:rsid w:val="003C5C2B"/>
    <w:rsid w:val="003C5E17"/>
    <w:rsid w:val="003C6EC8"/>
    <w:rsid w:val="003D079A"/>
    <w:rsid w:val="003D0C5C"/>
    <w:rsid w:val="003D18E6"/>
    <w:rsid w:val="003D1D6F"/>
    <w:rsid w:val="003D2529"/>
    <w:rsid w:val="003D25C9"/>
    <w:rsid w:val="003D2DEE"/>
    <w:rsid w:val="003D2EBE"/>
    <w:rsid w:val="003D433B"/>
    <w:rsid w:val="003D4F68"/>
    <w:rsid w:val="003D5352"/>
    <w:rsid w:val="003D5374"/>
    <w:rsid w:val="003D5DC8"/>
    <w:rsid w:val="003D616A"/>
    <w:rsid w:val="003D6A1A"/>
    <w:rsid w:val="003D6CAC"/>
    <w:rsid w:val="003D716D"/>
    <w:rsid w:val="003D7C32"/>
    <w:rsid w:val="003D7D46"/>
    <w:rsid w:val="003E05E7"/>
    <w:rsid w:val="003E081B"/>
    <w:rsid w:val="003E1129"/>
    <w:rsid w:val="003E1243"/>
    <w:rsid w:val="003E13F9"/>
    <w:rsid w:val="003E1F20"/>
    <w:rsid w:val="003E20D6"/>
    <w:rsid w:val="003E2205"/>
    <w:rsid w:val="003E2858"/>
    <w:rsid w:val="003E336E"/>
    <w:rsid w:val="003E3BD5"/>
    <w:rsid w:val="003E3D2C"/>
    <w:rsid w:val="003E444A"/>
    <w:rsid w:val="003E44DC"/>
    <w:rsid w:val="003E4512"/>
    <w:rsid w:val="003E4613"/>
    <w:rsid w:val="003E462C"/>
    <w:rsid w:val="003E4F6F"/>
    <w:rsid w:val="003E505A"/>
    <w:rsid w:val="003E506E"/>
    <w:rsid w:val="003E50C4"/>
    <w:rsid w:val="003E514E"/>
    <w:rsid w:val="003E53FC"/>
    <w:rsid w:val="003E6624"/>
    <w:rsid w:val="003E6CC8"/>
    <w:rsid w:val="003E6EEB"/>
    <w:rsid w:val="003E730A"/>
    <w:rsid w:val="003E74F7"/>
    <w:rsid w:val="003E76B7"/>
    <w:rsid w:val="003E7F82"/>
    <w:rsid w:val="003F019D"/>
    <w:rsid w:val="003F027D"/>
    <w:rsid w:val="003F071C"/>
    <w:rsid w:val="003F073E"/>
    <w:rsid w:val="003F07FB"/>
    <w:rsid w:val="003F0CF5"/>
    <w:rsid w:val="003F0E27"/>
    <w:rsid w:val="003F12DB"/>
    <w:rsid w:val="003F25EF"/>
    <w:rsid w:val="003F273D"/>
    <w:rsid w:val="003F2A76"/>
    <w:rsid w:val="003F39E4"/>
    <w:rsid w:val="003F3D89"/>
    <w:rsid w:val="003F3D95"/>
    <w:rsid w:val="003F3DD4"/>
    <w:rsid w:val="003F464C"/>
    <w:rsid w:val="003F5430"/>
    <w:rsid w:val="003F55F4"/>
    <w:rsid w:val="003F5DED"/>
    <w:rsid w:val="003F5F0F"/>
    <w:rsid w:val="003F6221"/>
    <w:rsid w:val="003F66C2"/>
    <w:rsid w:val="003F6FBA"/>
    <w:rsid w:val="003F74EA"/>
    <w:rsid w:val="003F7672"/>
    <w:rsid w:val="003F7889"/>
    <w:rsid w:val="003F7CE5"/>
    <w:rsid w:val="0040089B"/>
    <w:rsid w:val="00400B7A"/>
    <w:rsid w:val="004012B4"/>
    <w:rsid w:val="004013CD"/>
    <w:rsid w:val="0040185F"/>
    <w:rsid w:val="004018D1"/>
    <w:rsid w:val="00401B94"/>
    <w:rsid w:val="004022CE"/>
    <w:rsid w:val="004028BA"/>
    <w:rsid w:val="00403379"/>
    <w:rsid w:val="004035A7"/>
    <w:rsid w:val="004039C5"/>
    <w:rsid w:val="00403B22"/>
    <w:rsid w:val="00403D3E"/>
    <w:rsid w:val="00403E5A"/>
    <w:rsid w:val="00404177"/>
    <w:rsid w:val="004045C3"/>
    <w:rsid w:val="0040486B"/>
    <w:rsid w:val="00404AC6"/>
    <w:rsid w:val="00404EE3"/>
    <w:rsid w:val="00405007"/>
    <w:rsid w:val="004052C8"/>
    <w:rsid w:val="0040530E"/>
    <w:rsid w:val="00405520"/>
    <w:rsid w:val="0040572B"/>
    <w:rsid w:val="00405882"/>
    <w:rsid w:val="00405D03"/>
    <w:rsid w:val="004060B3"/>
    <w:rsid w:val="00406201"/>
    <w:rsid w:val="004074B9"/>
    <w:rsid w:val="004104FC"/>
    <w:rsid w:val="004107C1"/>
    <w:rsid w:val="0041127B"/>
    <w:rsid w:val="0041158D"/>
    <w:rsid w:val="00411854"/>
    <w:rsid w:val="00411AB2"/>
    <w:rsid w:val="00411BA8"/>
    <w:rsid w:val="004122E3"/>
    <w:rsid w:val="00413ECE"/>
    <w:rsid w:val="00414591"/>
    <w:rsid w:val="004149CB"/>
    <w:rsid w:val="00414CEB"/>
    <w:rsid w:val="0041599F"/>
    <w:rsid w:val="00415E37"/>
    <w:rsid w:val="00415F5E"/>
    <w:rsid w:val="00415FC0"/>
    <w:rsid w:val="00416080"/>
    <w:rsid w:val="00416983"/>
    <w:rsid w:val="00417007"/>
    <w:rsid w:val="00417AA9"/>
    <w:rsid w:val="004202B5"/>
    <w:rsid w:val="0042068F"/>
    <w:rsid w:val="00420F31"/>
    <w:rsid w:val="004211B1"/>
    <w:rsid w:val="0042187D"/>
    <w:rsid w:val="00421A31"/>
    <w:rsid w:val="004224B4"/>
    <w:rsid w:val="00422787"/>
    <w:rsid w:val="00422F93"/>
    <w:rsid w:val="004232ED"/>
    <w:rsid w:val="004237C9"/>
    <w:rsid w:val="0042424E"/>
    <w:rsid w:val="0042538D"/>
    <w:rsid w:val="00425A1A"/>
    <w:rsid w:val="00425BCF"/>
    <w:rsid w:val="00426386"/>
    <w:rsid w:val="004269D3"/>
    <w:rsid w:val="00426BE5"/>
    <w:rsid w:val="00426E29"/>
    <w:rsid w:val="00427131"/>
    <w:rsid w:val="0042723F"/>
    <w:rsid w:val="00427403"/>
    <w:rsid w:val="004300B4"/>
    <w:rsid w:val="0043033B"/>
    <w:rsid w:val="004303CC"/>
    <w:rsid w:val="004304B2"/>
    <w:rsid w:val="00430721"/>
    <w:rsid w:val="0043079D"/>
    <w:rsid w:val="004310D0"/>
    <w:rsid w:val="00431744"/>
    <w:rsid w:val="00431AD6"/>
    <w:rsid w:val="00431B48"/>
    <w:rsid w:val="00431D0E"/>
    <w:rsid w:val="0043265C"/>
    <w:rsid w:val="004337C9"/>
    <w:rsid w:val="00433A0E"/>
    <w:rsid w:val="00433A3E"/>
    <w:rsid w:val="0043413D"/>
    <w:rsid w:val="0043442C"/>
    <w:rsid w:val="0043486A"/>
    <w:rsid w:val="00434DE9"/>
    <w:rsid w:val="004352D5"/>
    <w:rsid w:val="00435495"/>
    <w:rsid w:val="0043570B"/>
    <w:rsid w:val="0043677C"/>
    <w:rsid w:val="004368AA"/>
    <w:rsid w:val="004371DE"/>
    <w:rsid w:val="00437528"/>
    <w:rsid w:val="00437B06"/>
    <w:rsid w:val="00437EE8"/>
    <w:rsid w:val="0044015A"/>
    <w:rsid w:val="00440380"/>
    <w:rsid w:val="004403AA"/>
    <w:rsid w:val="004419AA"/>
    <w:rsid w:val="004420DF"/>
    <w:rsid w:val="004427DB"/>
    <w:rsid w:val="00442809"/>
    <w:rsid w:val="00442CEF"/>
    <w:rsid w:val="00442D3C"/>
    <w:rsid w:val="004430FA"/>
    <w:rsid w:val="004433BD"/>
    <w:rsid w:val="0044355D"/>
    <w:rsid w:val="004438E5"/>
    <w:rsid w:val="00443C87"/>
    <w:rsid w:val="00443FB2"/>
    <w:rsid w:val="004447B5"/>
    <w:rsid w:val="004456C3"/>
    <w:rsid w:val="004465D0"/>
    <w:rsid w:val="00446790"/>
    <w:rsid w:val="00446BBB"/>
    <w:rsid w:val="00447B41"/>
    <w:rsid w:val="004502B2"/>
    <w:rsid w:val="0045068C"/>
    <w:rsid w:val="00450CAB"/>
    <w:rsid w:val="00450F85"/>
    <w:rsid w:val="004517AF"/>
    <w:rsid w:val="00451BE3"/>
    <w:rsid w:val="00451FF2"/>
    <w:rsid w:val="00452D7A"/>
    <w:rsid w:val="00453343"/>
    <w:rsid w:val="00453B76"/>
    <w:rsid w:val="00453F07"/>
    <w:rsid w:val="00454181"/>
    <w:rsid w:val="0045434F"/>
    <w:rsid w:val="0045438C"/>
    <w:rsid w:val="00454477"/>
    <w:rsid w:val="00454C5A"/>
    <w:rsid w:val="004555C3"/>
    <w:rsid w:val="00455701"/>
    <w:rsid w:val="004559F9"/>
    <w:rsid w:val="00455C80"/>
    <w:rsid w:val="004563DD"/>
    <w:rsid w:val="00456CDF"/>
    <w:rsid w:val="00456F6D"/>
    <w:rsid w:val="00457262"/>
    <w:rsid w:val="00457458"/>
    <w:rsid w:val="00457741"/>
    <w:rsid w:val="00457F73"/>
    <w:rsid w:val="00460B9F"/>
    <w:rsid w:val="0046107F"/>
    <w:rsid w:val="0046115B"/>
    <w:rsid w:val="00461274"/>
    <w:rsid w:val="004614B2"/>
    <w:rsid w:val="004614B4"/>
    <w:rsid w:val="0046193D"/>
    <w:rsid w:val="00461F6D"/>
    <w:rsid w:val="004633ED"/>
    <w:rsid w:val="004654B1"/>
    <w:rsid w:val="0046557B"/>
    <w:rsid w:val="00465B3C"/>
    <w:rsid w:val="00465EAF"/>
    <w:rsid w:val="00466114"/>
    <w:rsid w:val="004666EB"/>
    <w:rsid w:val="00466845"/>
    <w:rsid w:val="0046684E"/>
    <w:rsid w:val="0046692F"/>
    <w:rsid w:val="00470338"/>
    <w:rsid w:val="0047033E"/>
    <w:rsid w:val="00470EFE"/>
    <w:rsid w:val="004712F6"/>
    <w:rsid w:val="00471F10"/>
    <w:rsid w:val="00472568"/>
    <w:rsid w:val="004728E2"/>
    <w:rsid w:val="004730EF"/>
    <w:rsid w:val="004736B1"/>
    <w:rsid w:val="004738F5"/>
    <w:rsid w:val="0047417D"/>
    <w:rsid w:val="00474E77"/>
    <w:rsid w:val="00475708"/>
    <w:rsid w:val="0047581F"/>
    <w:rsid w:val="004766B7"/>
    <w:rsid w:val="00476C8F"/>
    <w:rsid w:val="00477416"/>
    <w:rsid w:val="00480D1E"/>
    <w:rsid w:val="00481D33"/>
    <w:rsid w:val="00482295"/>
    <w:rsid w:val="004822A0"/>
    <w:rsid w:val="004822E9"/>
    <w:rsid w:val="0048269D"/>
    <w:rsid w:val="00482D74"/>
    <w:rsid w:val="00484659"/>
    <w:rsid w:val="00484678"/>
    <w:rsid w:val="00484E04"/>
    <w:rsid w:val="004855BE"/>
    <w:rsid w:val="00485878"/>
    <w:rsid w:val="00485A57"/>
    <w:rsid w:val="00485E5B"/>
    <w:rsid w:val="00485E70"/>
    <w:rsid w:val="00486587"/>
    <w:rsid w:val="004867BC"/>
    <w:rsid w:val="00486A41"/>
    <w:rsid w:val="00486C68"/>
    <w:rsid w:val="00486D74"/>
    <w:rsid w:val="00486D98"/>
    <w:rsid w:val="00486DEC"/>
    <w:rsid w:val="004871B0"/>
    <w:rsid w:val="00487564"/>
    <w:rsid w:val="00487899"/>
    <w:rsid w:val="004878F3"/>
    <w:rsid w:val="004902B4"/>
    <w:rsid w:val="004905F3"/>
    <w:rsid w:val="004906FC"/>
    <w:rsid w:val="00490870"/>
    <w:rsid w:val="00490985"/>
    <w:rsid w:val="004909C8"/>
    <w:rsid w:val="00490B67"/>
    <w:rsid w:val="00490E53"/>
    <w:rsid w:val="00491305"/>
    <w:rsid w:val="0049147B"/>
    <w:rsid w:val="00491668"/>
    <w:rsid w:val="00491C14"/>
    <w:rsid w:val="00491E17"/>
    <w:rsid w:val="0049261B"/>
    <w:rsid w:val="004929E8"/>
    <w:rsid w:val="00492F2D"/>
    <w:rsid w:val="00492FD6"/>
    <w:rsid w:val="004936E8"/>
    <w:rsid w:val="0049401A"/>
    <w:rsid w:val="00494332"/>
    <w:rsid w:val="00494BE0"/>
    <w:rsid w:val="004958F6"/>
    <w:rsid w:val="00495AB3"/>
    <w:rsid w:val="00495EE8"/>
    <w:rsid w:val="004968C1"/>
    <w:rsid w:val="00496A8D"/>
    <w:rsid w:val="004974D9"/>
    <w:rsid w:val="004977C3"/>
    <w:rsid w:val="00497DC7"/>
    <w:rsid w:val="004A11F0"/>
    <w:rsid w:val="004A1AD7"/>
    <w:rsid w:val="004A1FB2"/>
    <w:rsid w:val="004A2FA9"/>
    <w:rsid w:val="004A341F"/>
    <w:rsid w:val="004A3531"/>
    <w:rsid w:val="004A36CE"/>
    <w:rsid w:val="004A3CFE"/>
    <w:rsid w:val="004A3E19"/>
    <w:rsid w:val="004A4621"/>
    <w:rsid w:val="004A47DD"/>
    <w:rsid w:val="004A4BDE"/>
    <w:rsid w:val="004A519F"/>
    <w:rsid w:val="004A5295"/>
    <w:rsid w:val="004A52A8"/>
    <w:rsid w:val="004A54D3"/>
    <w:rsid w:val="004A5C1E"/>
    <w:rsid w:val="004A63FA"/>
    <w:rsid w:val="004A6B1E"/>
    <w:rsid w:val="004A7631"/>
    <w:rsid w:val="004A77D6"/>
    <w:rsid w:val="004A7952"/>
    <w:rsid w:val="004A7DE3"/>
    <w:rsid w:val="004B0148"/>
    <w:rsid w:val="004B043C"/>
    <w:rsid w:val="004B0ABB"/>
    <w:rsid w:val="004B0C11"/>
    <w:rsid w:val="004B19BE"/>
    <w:rsid w:val="004B1A72"/>
    <w:rsid w:val="004B1A7A"/>
    <w:rsid w:val="004B1C77"/>
    <w:rsid w:val="004B20FA"/>
    <w:rsid w:val="004B2D91"/>
    <w:rsid w:val="004B32E0"/>
    <w:rsid w:val="004B3BDB"/>
    <w:rsid w:val="004B40BF"/>
    <w:rsid w:val="004B4569"/>
    <w:rsid w:val="004B4863"/>
    <w:rsid w:val="004B4B12"/>
    <w:rsid w:val="004B4D7D"/>
    <w:rsid w:val="004B603D"/>
    <w:rsid w:val="004B6666"/>
    <w:rsid w:val="004B685E"/>
    <w:rsid w:val="004B69F5"/>
    <w:rsid w:val="004B6A26"/>
    <w:rsid w:val="004B6E5D"/>
    <w:rsid w:val="004B7264"/>
    <w:rsid w:val="004B74D9"/>
    <w:rsid w:val="004B7E94"/>
    <w:rsid w:val="004B7FAD"/>
    <w:rsid w:val="004C00E1"/>
    <w:rsid w:val="004C0AA7"/>
    <w:rsid w:val="004C1234"/>
    <w:rsid w:val="004C13CF"/>
    <w:rsid w:val="004C18E3"/>
    <w:rsid w:val="004C1DBC"/>
    <w:rsid w:val="004C22AD"/>
    <w:rsid w:val="004C2329"/>
    <w:rsid w:val="004C2598"/>
    <w:rsid w:val="004C2DD9"/>
    <w:rsid w:val="004C3E60"/>
    <w:rsid w:val="004C42BE"/>
    <w:rsid w:val="004C4AF6"/>
    <w:rsid w:val="004C528A"/>
    <w:rsid w:val="004C5F3D"/>
    <w:rsid w:val="004C5FC6"/>
    <w:rsid w:val="004C6075"/>
    <w:rsid w:val="004C6A4A"/>
    <w:rsid w:val="004C702A"/>
    <w:rsid w:val="004C7817"/>
    <w:rsid w:val="004C7C30"/>
    <w:rsid w:val="004D02FB"/>
    <w:rsid w:val="004D06DB"/>
    <w:rsid w:val="004D0859"/>
    <w:rsid w:val="004D0A75"/>
    <w:rsid w:val="004D0A8E"/>
    <w:rsid w:val="004D135D"/>
    <w:rsid w:val="004D248F"/>
    <w:rsid w:val="004D2C5E"/>
    <w:rsid w:val="004D2CB6"/>
    <w:rsid w:val="004D4113"/>
    <w:rsid w:val="004D4293"/>
    <w:rsid w:val="004D5360"/>
    <w:rsid w:val="004D5719"/>
    <w:rsid w:val="004D6CF9"/>
    <w:rsid w:val="004D7479"/>
    <w:rsid w:val="004D7BAF"/>
    <w:rsid w:val="004D7BB6"/>
    <w:rsid w:val="004D7D6E"/>
    <w:rsid w:val="004D7D80"/>
    <w:rsid w:val="004D7E8D"/>
    <w:rsid w:val="004E0480"/>
    <w:rsid w:val="004E052D"/>
    <w:rsid w:val="004E0881"/>
    <w:rsid w:val="004E0925"/>
    <w:rsid w:val="004E0A72"/>
    <w:rsid w:val="004E16EE"/>
    <w:rsid w:val="004E1A3B"/>
    <w:rsid w:val="004E1AE9"/>
    <w:rsid w:val="004E1D13"/>
    <w:rsid w:val="004E1E85"/>
    <w:rsid w:val="004E219E"/>
    <w:rsid w:val="004E22CD"/>
    <w:rsid w:val="004E2929"/>
    <w:rsid w:val="004E2DDF"/>
    <w:rsid w:val="004E3223"/>
    <w:rsid w:val="004E3274"/>
    <w:rsid w:val="004E3916"/>
    <w:rsid w:val="004E41A4"/>
    <w:rsid w:val="004E4538"/>
    <w:rsid w:val="004E5162"/>
    <w:rsid w:val="004E56E0"/>
    <w:rsid w:val="004E5D42"/>
    <w:rsid w:val="004E5D56"/>
    <w:rsid w:val="004E6399"/>
    <w:rsid w:val="004E6EAF"/>
    <w:rsid w:val="004E7444"/>
    <w:rsid w:val="004E7BE3"/>
    <w:rsid w:val="004E7CB4"/>
    <w:rsid w:val="004E7CF2"/>
    <w:rsid w:val="004E7DC1"/>
    <w:rsid w:val="004F0865"/>
    <w:rsid w:val="004F11D4"/>
    <w:rsid w:val="004F1792"/>
    <w:rsid w:val="004F204E"/>
    <w:rsid w:val="004F234D"/>
    <w:rsid w:val="004F25D5"/>
    <w:rsid w:val="004F2EED"/>
    <w:rsid w:val="004F2F78"/>
    <w:rsid w:val="004F31E5"/>
    <w:rsid w:val="004F324C"/>
    <w:rsid w:val="004F3423"/>
    <w:rsid w:val="004F355B"/>
    <w:rsid w:val="004F3F93"/>
    <w:rsid w:val="004F4B4C"/>
    <w:rsid w:val="004F5424"/>
    <w:rsid w:val="004F57FE"/>
    <w:rsid w:val="004F5AF0"/>
    <w:rsid w:val="004F5B0C"/>
    <w:rsid w:val="004F616F"/>
    <w:rsid w:val="004F66BD"/>
    <w:rsid w:val="004F6BAF"/>
    <w:rsid w:val="004F6C91"/>
    <w:rsid w:val="004F6E11"/>
    <w:rsid w:val="00500238"/>
    <w:rsid w:val="005007A6"/>
    <w:rsid w:val="00500D8C"/>
    <w:rsid w:val="0050130D"/>
    <w:rsid w:val="00501CDC"/>
    <w:rsid w:val="00502307"/>
    <w:rsid w:val="00502761"/>
    <w:rsid w:val="00502CFA"/>
    <w:rsid w:val="00502E3E"/>
    <w:rsid w:val="00502E7D"/>
    <w:rsid w:val="00502F7A"/>
    <w:rsid w:val="00502F8D"/>
    <w:rsid w:val="00504865"/>
    <w:rsid w:val="00504F24"/>
    <w:rsid w:val="005058C6"/>
    <w:rsid w:val="00505F8A"/>
    <w:rsid w:val="005060D9"/>
    <w:rsid w:val="00506A30"/>
    <w:rsid w:val="00506EE2"/>
    <w:rsid w:val="005071C3"/>
    <w:rsid w:val="005078A5"/>
    <w:rsid w:val="00510A8B"/>
    <w:rsid w:val="00510EC1"/>
    <w:rsid w:val="00511213"/>
    <w:rsid w:val="00511634"/>
    <w:rsid w:val="00511872"/>
    <w:rsid w:val="005119F8"/>
    <w:rsid w:val="00511BD1"/>
    <w:rsid w:val="00512384"/>
    <w:rsid w:val="005123B0"/>
    <w:rsid w:val="005127A0"/>
    <w:rsid w:val="00513439"/>
    <w:rsid w:val="005135A3"/>
    <w:rsid w:val="00513630"/>
    <w:rsid w:val="00513707"/>
    <w:rsid w:val="00513AA0"/>
    <w:rsid w:val="00513B8E"/>
    <w:rsid w:val="00513C25"/>
    <w:rsid w:val="005147AA"/>
    <w:rsid w:val="00514AFA"/>
    <w:rsid w:val="00514B61"/>
    <w:rsid w:val="00514FED"/>
    <w:rsid w:val="00515606"/>
    <w:rsid w:val="00515711"/>
    <w:rsid w:val="00515B3B"/>
    <w:rsid w:val="00515B67"/>
    <w:rsid w:val="00516149"/>
    <w:rsid w:val="0051656F"/>
    <w:rsid w:val="00517FF0"/>
    <w:rsid w:val="0052028A"/>
    <w:rsid w:val="00520AED"/>
    <w:rsid w:val="00520D6D"/>
    <w:rsid w:val="00521BD6"/>
    <w:rsid w:val="00521F97"/>
    <w:rsid w:val="0052252E"/>
    <w:rsid w:val="00522829"/>
    <w:rsid w:val="00523150"/>
    <w:rsid w:val="00523C53"/>
    <w:rsid w:val="005241D0"/>
    <w:rsid w:val="00524534"/>
    <w:rsid w:val="00524EDB"/>
    <w:rsid w:val="005250CD"/>
    <w:rsid w:val="0052529A"/>
    <w:rsid w:val="00525DAE"/>
    <w:rsid w:val="00525E0D"/>
    <w:rsid w:val="0052653C"/>
    <w:rsid w:val="005269AC"/>
    <w:rsid w:val="005273BA"/>
    <w:rsid w:val="005276FF"/>
    <w:rsid w:val="005305FC"/>
    <w:rsid w:val="00530965"/>
    <w:rsid w:val="00531581"/>
    <w:rsid w:val="00531ECB"/>
    <w:rsid w:val="00532555"/>
    <w:rsid w:val="00532590"/>
    <w:rsid w:val="00532601"/>
    <w:rsid w:val="005336F5"/>
    <w:rsid w:val="005338F5"/>
    <w:rsid w:val="0053396B"/>
    <w:rsid w:val="00533B19"/>
    <w:rsid w:val="005343DC"/>
    <w:rsid w:val="00534469"/>
    <w:rsid w:val="00534A74"/>
    <w:rsid w:val="00535237"/>
    <w:rsid w:val="005359FD"/>
    <w:rsid w:val="00535FAB"/>
    <w:rsid w:val="00536170"/>
    <w:rsid w:val="00536CAC"/>
    <w:rsid w:val="00536E4B"/>
    <w:rsid w:val="005372E4"/>
    <w:rsid w:val="0053796C"/>
    <w:rsid w:val="00537CC0"/>
    <w:rsid w:val="00540CA3"/>
    <w:rsid w:val="00541283"/>
    <w:rsid w:val="00541743"/>
    <w:rsid w:val="00541781"/>
    <w:rsid w:val="00541AC4"/>
    <w:rsid w:val="00541C62"/>
    <w:rsid w:val="00542509"/>
    <w:rsid w:val="005427B7"/>
    <w:rsid w:val="00543132"/>
    <w:rsid w:val="00543C8B"/>
    <w:rsid w:val="005444CD"/>
    <w:rsid w:val="005449A9"/>
    <w:rsid w:val="005449C6"/>
    <w:rsid w:val="00544FBD"/>
    <w:rsid w:val="00545049"/>
    <w:rsid w:val="005453AA"/>
    <w:rsid w:val="005454C6"/>
    <w:rsid w:val="005456D9"/>
    <w:rsid w:val="00545713"/>
    <w:rsid w:val="00545B2A"/>
    <w:rsid w:val="00545E9D"/>
    <w:rsid w:val="00545F84"/>
    <w:rsid w:val="00546095"/>
    <w:rsid w:val="005464F3"/>
    <w:rsid w:val="00546FED"/>
    <w:rsid w:val="00550004"/>
    <w:rsid w:val="00550329"/>
    <w:rsid w:val="00550467"/>
    <w:rsid w:val="005505B7"/>
    <w:rsid w:val="0055086E"/>
    <w:rsid w:val="00550B5C"/>
    <w:rsid w:val="00550D05"/>
    <w:rsid w:val="00551560"/>
    <w:rsid w:val="00551653"/>
    <w:rsid w:val="0055178B"/>
    <w:rsid w:val="00551A2E"/>
    <w:rsid w:val="0055232B"/>
    <w:rsid w:val="00552B9C"/>
    <w:rsid w:val="00552BF9"/>
    <w:rsid w:val="00552CA5"/>
    <w:rsid w:val="00553D8D"/>
    <w:rsid w:val="00553E97"/>
    <w:rsid w:val="00554353"/>
    <w:rsid w:val="005545B2"/>
    <w:rsid w:val="0055460C"/>
    <w:rsid w:val="00554747"/>
    <w:rsid w:val="00554D73"/>
    <w:rsid w:val="00554E68"/>
    <w:rsid w:val="005557E3"/>
    <w:rsid w:val="00555BEA"/>
    <w:rsid w:val="00556A0E"/>
    <w:rsid w:val="0055702D"/>
    <w:rsid w:val="00557487"/>
    <w:rsid w:val="00557602"/>
    <w:rsid w:val="005577B3"/>
    <w:rsid w:val="005577CD"/>
    <w:rsid w:val="005579EC"/>
    <w:rsid w:val="0056013E"/>
    <w:rsid w:val="00561E7E"/>
    <w:rsid w:val="005623D5"/>
    <w:rsid w:val="00562481"/>
    <w:rsid w:val="005627AE"/>
    <w:rsid w:val="00562AB7"/>
    <w:rsid w:val="0056323F"/>
    <w:rsid w:val="00563498"/>
    <w:rsid w:val="0056389D"/>
    <w:rsid w:val="00563DE8"/>
    <w:rsid w:val="00563F57"/>
    <w:rsid w:val="005646E1"/>
    <w:rsid w:val="00564838"/>
    <w:rsid w:val="005648D9"/>
    <w:rsid w:val="00564A23"/>
    <w:rsid w:val="0056508D"/>
    <w:rsid w:val="00565971"/>
    <w:rsid w:val="00565B86"/>
    <w:rsid w:val="00565D61"/>
    <w:rsid w:val="00566232"/>
    <w:rsid w:val="00566271"/>
    <w:rsid w:val="0056686F"/>
    <w:rsid w:val="00566B05"/>
    <w:rsid w:val="00566C34"/>
    <w:rsid w:val="005673AA"/>
    <w:rsid w:val="00567DB0"/>
    <w:rsid w:val="00567E3E"/>
    <w:rsid w:val="0057010E"/>
    <w:rsid w:val="00570180"/>
    <w:rsid w:val="005702F5"/>
    <w:rsid w:val="00570CB9"/>
    <w:rsid w:val="00570F9E"/>
    <w:rsid w:val="00571114"/>
    <w:rsid w:val="0057113B"/>
    <w:rsid w:val="0057172F"/>
    <w:rsid w:val="00571B99"/>
    <w:rsid w:val="0057206A"/>
    <w:rsid w:val="005721D3"/>
    <w:rsid w:val="005724CC"/>
    <w:rsid w:val="005724DE"/>
    <w:rsid w:val="005726F5"/>
    <w:rsid w:val="005728AC"/>
    <w:rsid w:val="005728C8"/>
    <w:rsid w:val="005729A1"/>
    <w:rsid w:val="00572D88"/>
    <w:rsid w:val="00572FE5"/>
    <w:rsid w:val="00573225"/>
    <w:rsid w:val="0057383E"/>
    <w:rsid w:val="0057394E"/>
    <w:rsid w:val="00573CE0"/>
    <w:rsid w:val="0057475D"/>
    <w:rsid w:val="00574D9E"/>
    <w:rsid w:val="00575484"/>
    <w:rsid w:val="005757F8"/>
    <w:rsid w:val="00575CFA"/>
    <w:rsid w:val="00576111"/>
    <w:rsid w:val="00576E44"/>
    <w:rsid w:val="005772B4"/>
    <w:rsid w:val="0057752D"/>
    <w:rsid w:val="005777FB"/>
    <w:rsid w:val="005778E0"/>
    <w:rsid w:val="00580170"/>
    <w:rsid w:val="0058023D"/>
    <w:rsid w:val="0058088D"/>
    <w:rsid w:val="00580A48"/>
    <w:rsid w:val="00580E4E"/>
    <w:rsid w:val="00581212"/>
    <w:rsid w:val="005812BE"/>
    <w:rsid w:val="00581530"/>
    <w:rsid w:val="00581C01"/>
    <w:rsid w:val="00581FE4"/>
    <w:rsid w:val="005822F6"/>
    <w:rsid w:val="005829F3"/>
    <w:rsid w:val="00582AD5"/>
    <w:rsid w:val="00582D9A"/>
    <w:rsid w:val="005833C6"/>
    <w:rsid w:val="005836EC"/>
    <w:rsid w:val="00583AF2"/>
    <w:rsid w:val="00583BA8"/>
    <w:rsid w:val="00584485"/>
    <w:rsid w:val="00584CB9"/>
    <w:rsid w:val="00584F4C"/>
    <w:rsid w:val="00585028"/>
    <w:rsid w:val="0058504C"/>
    <w:rsid w:val="005859BE"/>
    <w:rsid w:val="00585AA0"/>
    <w:rsid w:val="005861B6"/>
    <w:rsid w:val="00586250"/>
    <w:rsid w:val="005865CE"/>
    <w:rsid w:val="005873BB"/>
    <w:rsid w:val="00587A29"/>
    <w:rsid w:val="00587D87"/>
    <w:rsid w:val="005903CD"/>
    <w:rsid w:val="00590BE2"/>
    <w:rsid w:val="00590D88"/>
    <w:rsid w:val="005917D0"/>
    <w:rsid w:val="00592732"/>
    <w:rsid w:val="00593BD2"/>
    <w:rsid w:val="00593F95"/>
    <w:rsid w:val="00593FF1"/>
    <w:rsid w:val="0059475F"/>
    <w:rsid w:val="00594CD7"/>
    <w:rsid w:val="005958AE"/>
    <w:rsid w:val="00595B35"/>
    <w:rsid w:val="00595ED6"/>
    <w:rsid w:val="00595F3C"/>
    <w:rsid w:val="00596052"/>
    <w:rsid w:val="005965A9"/>
    <w:rsid w:val="00597283"/>
    <w:rsid w:val="00597448"/>
    <w:rsid w:val="00597804"/>
    <w:rsid w:val="00597BE4"/>
    <w:rsid w:val="005A09C2"/>
    <w:rsid w:val="005A123C"/>
    <w:rsid w:val="005A1399"/>
    <w:rsid w:val="005A1514"/>
    <w:rsid w:val="005A1A34"/>
    <w:rsid w:val="005A1D50"/>
    <w:rsid w:val="005A21EE"/>
    <w:rsid w:val="005A241F"/>
    <w:rsid w:val="005A261D"/>
    <w:rsid w:val="005A2F41"/>
    <w:rsid w:val="005A33CB"/>
    <w:rsid w:val="005A350C"/>
    <w:rsid w:val="005A3693"/>
    <w:rsid w:val="005A3DD0"/>
    <w:rsid w:val="005A46A0"/>
    <w:rsid w:val="005A47D5"/>
    <w:rsid w:val="005A5783"/>
    <w:rsid w:val="005A6108"/>
    <w:rsid w:val="005A62AD"/>
    <w:rsid w:val="005A7376"/>
    <w:rsid w:val="005A7820"/>
    <w:rsid w:val="005A7879"/>
    <w:rsid w:val="005A788F"/>
    <w:rsid w:val="005A7E7F"/>
    <w:rsid w:val="005B02DF"/>
    <w:rsid w:val="005B0437"/>
    <w:rsid w:val="005B05B3"/>
    <w:rsid w:val="005B05F5"/>
    <w:rsid w:val="005B192C"/>
    <w:rsid w:val="005B1AB9"/>
    <w:rsid w:val="005B1BEA"/>
    <w:rsid w:val="005B1CC5"/>
    <w:rsid w:val="005B1DA5"/>
    <w:rsid w:val="005B202F"/>
    <w:rsid w:val="005B21DA"/>
    <w:rsid w:val="005B260E"/>
    <w:rsid w:val="005B2EA0"/>
    <w:rsid w:val="005B2EA8"/>
    <w:rsid w:val="005B34C2"/>
    <w:rsid w:val="005B3507"/>
    <w:rsid w:val="005B380E"/>
    <w:rsid w:val="005B3C3E"/>
    <w:rsid w:val="005B3D32"/>
    <w:rsid w:val="005B5251"/>
    <w:rsid w:val="005B5335"/>
    <w:rsid w:val="005B57B9"/>
    <w:rsid w:val="005B5853"/>
    <w:rsid w:val="005B5A1E"/>
    <w:rsid w:val="005B5EEC"/>
    <w:rsid w:val="005B6B38"/>
    <w:rsid w:val="005B6EF1"/>
    <w:rsid w:val="005B6F05"/>
    <w:rsid w:val="005B6F15"/>
    <w:rsid w:val="005B7121"/>
    <w:rsid w:val="005B754C"/>
    <w:rsid w:val="005B7D50"/>
    <w:rsid w:val="005B7F43"/>
    <w:rsid w:val="005C02D9"/>
    <w:rsid w:val="005C0D70"/>
    <w:rsid w:val="005C1182"/>
    <w:rsid w:val="005C11E1"/>
    <w:rsid w:val="005C1467"/>
    <w:rsid w:val="005C1502"/>
    <w:rsid w:val="005C1746"/>
    <w:rsid w:val="005C185F"/>
    <w:rsid w:val="005C1F6A"/>
    <w:rsid w:val="005C2F03"/>
    <w:rsid w:val="005C2F0E"/>
    <w:rsid w:val="005C2F77"/>
    <w:rsid w:val="005C3478"/>
    <w:rsid w:val="005C3717"/>
    <w:rsid w:val="005C38A2"/>
    <w:rsid w:val="005C4361"/>
    <w:rsid w:val="005C453F"/>
    <w:rsid w:val="005C45E4"/>
    <w:rsid w:val="005C4B7F"/>
    <w:rsid w:val="005C4F89"/>
    <w:rsid w:val="005C4FBE"/>
    <w:rsid w:val="005C50FA"/>
    <w:rsid w:val="005C52C4"/>
    <w:rsid w:val="005C5A2E"/>
    <w:rsid w:val="005C6045"/>
    <w:rsid w:val="005C63FF"/>
    <w:rsid w:val="005C661A"/>
    <w:rsid w:val="005C6676"/>
    <w:rsid w:val="005C74C0"/>
    <w:rsid w:val="005C7BB4"/>
    <w:rsid w:val="005C7E2E"/>
    <w:rsid w:val="005C7F87"/>
    <w:rsid w:val="005D0053"/>
    <w:rsid w:val="005D00E2"/>
    <w:rsid w:val="005D0B0A"/>
    <w:rsid w:val="005D0DEF"/>
    <w:rsid w:val="005D187A"/>
    <w:rsid w:val="005D1ACA"/>
    <w:rsid w:val="005D2272"/>
    <w:rsid w:val="005D33E5"/>
    <w:rsid w:val="005D3557"/>
    <w:rsid w:val="005D3C95"/>
    <w:rsid w:val="005D4D9E"/>
    <w:rsid w:val="005D5072"/>
    <w:rsid w:val="005D58C3"/>
    <w:rsid w:val="005D59F5"/>
    <w:rsid w:val="005D68CF"/>
    <w:rsid w:val="005D6D13"/>
    <w:rsid w:val="005D7032"/>
    <w:rsid w:val="005D7287"/>
    <w:rsid w:val="005D7678"/>
    <w:rsid w:val="005E1B51"/>
    <w:rsid w:val="005E25A6"/>
    <w:rsid w:val="005E270C"/>
    <w:rsid w:val="005E276A"/>
    <w:rsid w:val="005E2BE7"/>
    <w:rsid w:val="005E3036"/>
    <w:rsid w:val="005E334F"/>
    <w:rsid w:val="005E3557"/>
    <w:rsid w:val="005E3630"/>
    <w:rsid w:val="005E37D7"/>
    <w:rsid w:val="005E3B74"/>
    <w:rsid w:val="005E3BFB"/>
    <w:rsid w:val="005E41B1"/>
    <w:rsid w:val="005E4942"/>
    <w:rsid w:val="005E5DE3"/>
    <w:rsid w:val="005E5F36"/>
    <w:rsid w:val="005E6744"/>
    <w:rsid w:val="005E6815"/>
    <w:rsid w:val="005E6F6E"/>
    <w:rsid w:val="005E7604"/>
    <w:rsid w:val="005E7A73"/>
    <w:rsid w:val="005F0324"/>
    <w:rsid w:val="005F038E"/>
    <w:rsid w:val="005F0747"/>
    <w:rsid w:val="005F07F5"/>
    <w:rsid w:val="005F0C58"/>
    <w:rsid w:val="005F0F49"/>
    <w:rsid w:val="005F1651"/>
    <w:rsid w:val="005F18E4"/>
    <w:rsid w:val="005F1B67"/>
    <w:rsid w:val="005F23DE"/>
    <w:rsid w:val="005F33FB"/>
    <w:rsid w:val="005F3E68"/>
    <w:rsid w:val="005F431A"/>
    <w:rsid w:val="005F4532"/>
    <w:rsid w:val="005F472D"/>
    <w:rsid w:val="005F4815"/>
    <w:rsid w:val="005F5141"/>
    <w:rsid w:val="005F51F2"/>
    <w:rsid w:val="005F5F0B"/>
    <w:rsid w:val="005F6230"/>
    <w:rsid w:val="005F668D"/>
    <w:rsid w:val="005F676F"/>
    <w:rsid w:val="005F6BE6"/>
    <w:rsid w:val="005F70AD"/>
    <w:rsid w:val="005F7232"/>
    <w:rsid w:val="005F730C"/>
    <w:rsid w:val="005F738F"/>
    <w:rsid w:val="005F7584"/>
    <w:rsid w:val="005F77A1"/>
    <w:rsid w:val="005F784F"/>
    <w:rsid w:val="005F78BA"/>
    <w:rsid w:val="00600146"/>
    <w:rsid w:val="00600269"/>
    <w:rsid w:val="00600379"/>
    <w:rsid w:val="006003DE"/>
    <w:rsid w:val="00600EC1"/>
    <w:rsid w:val="006015FF"/>
    <w:rsid w:val="00602183"/>
    <w:rsid w:val="006023EB"/>
    <w:rsid w:val="00603A3B"/>
    <w:rsid w:val="00603B58"/>
    <w:rsid w:val="00604544"/>
    <w:rsid w:val="00604BFB"/>
    <w:rsid w:val="00605191"/>
    <w:rsid w:val="0060562E"/>
    <w:rsid w:val="006064D4"/>
    <w:rsid w:val="006066EE"/>
    <w:rsid w:val="00606B28"/>
    <w:rsid w:val="006072E6"/>
    <w:rsid w:val="00607679"/>
    <w:rsid w:val="006079C8"/>
    <w:rsid w:val="00607A44"/>
    <w:rsid w:val="00607A7B"/>
    <w:rsid w:val="00607A85"/>
    <w:rsid w:val="00607CE3"/>
    <w:rsid w:val="006103EA"/>
    <w:rsid w:val="006107D3"/>
    <w:rsid w:val="00611D0D"/>
    <w:rsid w:val="00611ED5"/>
    <w:rsid w:val="006125BB"/>
    <w:rsid w:val="00612725"/>
    <w:rsid w:val="00612A93"/>
    <w:rsid w:val="00612F11"/>
    <w:rsid w:val="0061308B"/>
    <w:rsid w:val="00613AE5"/>
    <w:rsid w:val="00614E2C"/>
    <w:rsid w:val="00615320"/>
    <w:rsid w:val="006161D7"/>
    <w:rsid w:val="006165DE"/>
    <w:rsid w:val="00616DC1"/>
    <w:rsid w:val="00616E2B"/>
    <w:rsid w:val="0061700A"/>
    <w:rsid w:val="0061718B"/>
    <w:rsid w:val="00617828"/>
    <w:rsid w:val="006201C7"/>
    <w:rsid w:val="006204DC"/>
    <w:rsid w:val="006209CE"/>
    <w:rsid w:val="00620B61"/>
    <w:rsid w:val="0062163E"/>
    <w:rsid w:val="00622415"/>
    <w:rsid w:val="0062246F"/>
    <w:rsid w:val="00622567"/>
    <w:rsid w:val="00622D25"/>
    <w:rsid w:val="00622D41"/>
    <w:rsid w:val="00622E72"/>
    <w:rsid w:val="00623287"/>
    <w:rsid w:val="00623845"/>
    <w:rsid w:val="00623852"/>
    <w:rsid w:val="006248B4"/>
    <w:rsid w:val="006249DA"/>
    <w:rsid w:val="00625C1E"/>
    <w:rsid w:val="00625DDF"/>
    <w:rsid w:val="006267A6"/>
    <w:rsid w:val="00626D9F"/>
    <w:rsid w:val="00626E9E"/>
    <w:rsid w:val="00626F26"/>
    <w:rsid w:val="00627011"/>
    <w:rsid w:val="00627130"/>
    <w:rsid w:val="00627392"/>
    <w:rsid w:val="006273F6"/>
    <w:rsid w:val="00627579"/>
    <w:rsid w:val="00627B14"/>
    <w:rsid w:val="006300AD"/>
    <w:rsid w:val="00630114"/>
    <w:rsid w:val="00630E93"/>
    <w:rsid w:val="00631076"/>
    <w:rsid w:val="0063160F"/>
    <w:rsid w:val="00631DE8"/>
    <w:rsid w:val="006324AB"/>
    <w:rsid w:val="00632644"/>
    <w:rsid w:val="00633C56"/>
    <w:rsid w:val="006342BC"/>
    <w:rsid w:val="00634BCB"/>
    <w:rsid w:val="00635096"/>
    <w:rsid w:val="00635303"/>
    <w:rsid w:val="00635505"/>
    <w:rsid w:val="0063583F"/>
    <w:rsid w:val="006363A7"/>
    <w:rsid w:val="00636A59"/>
    <w:rsid w:val="00636DE3"/>
    <w:rsid w:val="00636F58"/>
    <w:rsid w:val="006378D3"/>
    <w:rsid w:val="006379AE"/>
    <w:rsid w:val="0064003F"/>
    <w:rsid w:val="006404E7"/>
    <w:rsid w:val="00640B38"/>
    <w:rsid w:val="0064135A"/>
    <w:rsid w:val="00641640"/>
    <w:rsid w:val="00641B26"/>
    <w:rsid w:val="00642458"/>
    <w:rsid w:val="00642BD7"/>
    <w:rsid w:val="0064337B"/>
    <w:rsid w:val="006433F4"/>
    <w:rsid w:val="006434FC"/>
    <w:rsid w:val="00643804"/>
    <w:rsid w:val="006438CB"/>
    <w:rsid w:val="00643B67"/>
    <w:rsid w:val="00644734"/>
    <w:rsid w:val="00644906"/>
    <w:rsid w:val="00644C72"/>
    <w:rsid w:val="00644E99"/>
    <w:rsid w:val="0064519E"/>
    <w:rsid w:val="00645B88"/>
    <w:rsid w:val="006463C9"/>
    <w:rsid w:val="00646BFE"/>
    <w:rsid w:val="0064753A"/>
    <w:rsid w:val="006500CC"/>
    <w:rsid w:val="00650A67"/>
    <w:rsid w:val="00650DF8"/>
    <w:rsid w:val="00650FE0"/>
    <w:rsid w:val="00651566"/>
    <w:rsid w:val="006517B7"/>
    <w:rsid w:val="006518C6"/>
    <w:rsid w:val="00651E4F"/>
    <w:rsid w:val="006522C6"/>
    <w:rsid w:val="00652A4C"/>
    <w:rsid w:val="00653A3A"/>
    <w:rsid w:val="006541D5"/>
    <w:rsid w:val="006543F3"/>
    <w:rsid w:val="006547DE"/>
    <w:rsid w:val="00654892"/>
    <w:rsid w:val="00654CFA"/>
    <w:rsid w:val="00655CC6"/>
    <w:rsid w:val="0065603C"/>
    <w:rsid w:val="00656041"/>
    <w:rsid w:val="006560AD"/>
    <w:rsid w:val="0065613C"/>
    <w:rsid w:val="006576BB"/>
    <w:rsid w:val="006576CB"/>
    <w:rsid w:val="0065778E"/>
    <w:rsid w:val="006577C5"/>
    <w:rsid w:val="006579D0"/>
    <w:rsid w:val="00657B85"/>
    <w:rsid w:val="00657B8A"/>
    <w:rsid w:val="00660854"/>
    <w:rsid w:val="0066092A"/>
    <w:rsid w:val="00661026"/>
    <w:rsid w:val="006614DF"/>
    <w:rsid w:val="00661D2B"/>
    <w:rsid w:val="006624C6"/>
    <w:rsid w:val="00662888"/>
    <w:rsid w:val="00662C78"/>
    <w:rsid w:val="00663491"/>
    <w:rsid w:val="00663578"/>
    <w:rsid w:val="00663C1B"/>
    <w:rsid w:val="00663E18"/>
    <w:rsid w:val="006645C2"/>
    <w:rsid w:val="006646EC"/>
    <w:rsid w:val="0066507D"/>
    <w:rsid w:val="006652D0"/>
    <w:rsid w:val="006659D5"/>
    <w:rsid w:val="00665FC9"/>
    <w:rsid w:val="00666198"/>
    <w:rsid w:val="00666236"/>
    <w:rsid w:val="0066653E"/>
    <w:rsid w:val="0066738D"/>
    <w:rsid w:val="00667724"/>
    <w:rsid w:val="006679D7"/>
    <w:rsid w:val="0067004D"/>
    <w:rsid w:val="006702DC"/>
    <w:rsid w:val="00670507"/>
    <w:rsid w:val="00670E79"/>
    <w:rsid w:val="00671B1E"/>
    <w:rsid w:val="00671B73"/>
    <w:rsid w:val="00672034"/>
    <w:rsid w:val="006735C3"/>
    <w:rsid w:val="006735F8"/>
    <w:rsid w:val="00673A9D"/>
    <w:rsid w:val="00673AD0"/>
    <w:rsid w:val="00673FF8"/>
    <w:rsid w:val="00674CD3"/>
    <w:rsid w:val="00674FD4"/>
    <w:rsid w:val="00675184"/>
    <w:rsid w:val="0067524A"/>
    <w:rsid w:val="00676048"/>
    <w:rsid w:val="00676890"/>
    <w:rsid w:val="00676C3C"/>
    <w:rsid w:val="00677252"/>
    <w:rsid w:val="00677775"/>
    <w:rsid w:val="00677B72"/>
    <w:rsid w:val="00677ECD"/>
    <w:rsid w:val="00677FD1"/>
    <w:rsid w:val="00680FD9"/>
    <w:rsid w:val="0068207D"/>
    <w:rsid w:val="00683134"/>
    <w:rsid w:val="0068324E"/>
    <w:rsid w:val="006833E3"/>
    <w:rsid w:val="00683B25"/>
    <w:rsid w:val="00683DF7"/>
    <w:rsid w:val="00684741"/>
    <w:rsid w:val="0068487E"/>
    <w:rsid w:val="00684BD7"/>
    <w:rsid w:val="00686041"/>
    <w:rsid w:val="006869E6"/>
    <w:rsid w:val="00686B5C"/>
    <w:rsid w:val="00686DE3"/>
    <w:rsid w:val="00686F9D"/>
    <w:rsid w:val="00687372"/>
    <w:rsid w:val="006873C0"/>
    <w:rsid w:val="00687BEE"/>
    <w:rsid w:val="00690482"/>
    <w:rsid w:val="0069106B"/>
    <w:rsid w:val="00691730"/>
    <w:rsid w:val="00692415"/>
    <w:rsid w:val="00693597"/>
    <w:rsid w:val="006935C1"/>
    <w:rsid w:val="00693903"/>
    <w:rsid w:val="00693E3D"/>
    <w:rsid w:val="0069494F"/>
    <w:rsid w:val="0069509F"/>
    <w:rsid w:val="006957C0"/>
    <w:rsid w:val="0069657D"/>
    <w:rsid w:val="006967C7"/>
    <w:rsid w:val="00696B3D"/>
    <w:rsid w:val="00696DA1"/>
    <w:rsid w:val="00697260"/>
    <w:rsid w:val="006972B3"/>
    <w:rsid w:val="00697A66"/>
    <w:rsid w:val="006A0116"/>
    <w:rsid w:val="006A0C41"/>
    <w:rsid w:val="006A14F2"/>
    <w:rsid w:val="006A16B8"/>
    <w:rsid w:val="006A1F28"/>
    <w:rsid w:val="006A2335"/>
    <w:rsid w:val="006A2748"/>
    <w:rsid w:val="006A2771"/>
    <w:rsid w:val="006A27FD"/>
    <w:rsid w:val="006A289B"/>
    <w:rsid w:val="006A295A"/>
    <w:rsid w:val="006A29BD"/>
    <w:rsid w:val="006A2F1B"/>
    <w:rsid w:val="006A33CD"/>
    <w:rsid w:val="006A3961"/>
    <w:rsid w:val="006A54C7"/>
    <w:rsid w:val="006A582D"/>
    <w:rsid w:val="006A582E"/>
    <w:rsid w:val="006A5E28"/>
    <w:rsid w:val="006A655B"/>
    <w:rsid w:val="006A67B9"/>
    <w:rsid w:val="006A6959"/>
    <w:rsid w:val="006A6C70"/>
    <w:rsid w:val="006A6D2C"/>
    <w:rsid w:val="006A6E8F"/>
    <w:rsid w:val="006A70C8"/>
    <w:rsid w:val="006A7250"/>
    <w:rsid w:val="006A75F8"/>
    <w:rsid w:val="006A7D0A"/>
    <w:rsid w:val="006B0D03"/>
    <w:rsid w:val="006B10A3"/>
    <w:rsid w:val="006B10C3"/>
    <w:rsid w:val="006B1559"/>
    <w:rsid w:val="006B18A5"/>
    <w:rsid w:val="006B19D9"/>
    <w:rsid w:val="006B1BD0"/>
    <w:rsid w:val="006B1BFE"/>
    <w:rsid w:val="006B1F09"/>
    <w:rsid w:val="006B2503"/>
    <w:rsid w:val="006B2C7B"/>
    <w:rsid w:val="006B3891"/>
    <w:rsid w:val="006B3CBF"/>
    <w:rsid w:val="006B488C"/>
    <w:rsid w:val="006B4BB6"/>
    <w:rsid w:val="006B5A06"/>
    <w:rsid w:val="006B5FA6"/>
    <w:rsid w:val="006B6278"/>
    <w:rsid w:val="006B65FB"/>
    <w:rsid w:val="006B662D"/>
    <w:rsid w:val="006B6842"/>
    <w:rsid w:val="006B7865"/>
    <w:rsid w:val="006B7DEE"/>
    <w:rsid w:val="006B7F9B"/>
    <w:rsid w:val="006C056E"/>
    <w:rsid w:val="006C09C6"/>
    <w:rsid w:val="006C0C3C"/>
    <w:rsid w:val="006C0FCE"/>
    <w:rsid w:val="006C11F9"/>
    <w:rsid w:val="006C2200"/>
    <w:rsid w:val="006C25D4"/>
    <w:rsid w:val="006C329C"/>
    <w:rsid w:val="006C3446"/>
    <w:rsid w:val="006C349C"/>
    <w:rsid w:val="006C357B"/>
    <w:rsid w:val="006C3D25"/>
    <w:rsid w:val="006C4061"/>
    <w:rsid w:val="006C42E6"/>
    <w:rsid w:val="006C4856"/>
    <w:rsid w:val="006C4A8C"/>
    <w:rsid w:val="006C4B22"/>
    <w:rsid w:val="006C4F6A"/>
    <w:rsid w:val="006C69D0"/>
    <w:rsid w:val="006C6AA9"/>
    <w:rsid w:val="006C7739"/>
    <w:rsid w:val="006C7955"/>
    <w:rsid w:val="006C7B62"/>
    <w:rsid w:val="006D0008"/>
    <w:rsid w:val="006D026B"/>
    <w:rsid w:val="006D03A5"/>
    <w:rsid w:val="006D091C"/>
    <w:rsid w:val="006D13A3"/>
    <w:rsid w:val="006D1F98"/>
    <w:rsid w:val="006D2500"/>
    <w:rsid w:val="006D3214"/>
    <w:rsid w:val="006D3501"/>
    <w:rsid w:val="006D40A4"/>
    <w:rsid w:val="006D5072"/>
    <w:rsid w:val="006D521F"/>
    <w:rsid w:val="006D55DD"/>
    <w:rsid w:val="006D5E08"/>
    <w:rsid w:val="006D5E35"/>
    <w:rsid w:val="006D60C5"/>
    <w:rsid w:val="006D6367"/>
    <w:rsid w:val="006D7F74"/>
    <w:rsid w:val="006E10AA"/>
    <w:rsid w:val="006E16DE"/>
    <w:rsid w:val="006E1DD9"/>
    <w:rsid w:val="006E2206"/>
    <w:rsid w:val="006E2504"/>
    <w:rsid w:val="006E260F"/>
    <w:rsid w:val="006E2AAF"/>
    <w:rsid w:val="006E2C7B"/>
    <w:rsid w:val="006E403F"/>
    <w:rsid w:val="006E566B"/>
    <w:rsid w:val="006E5B5A"/>
    <w:rsid w:val="006E5BA3"/>
    <w:rsid w:val="006E5FB3"/>
    <w:rsid w:val="006E61A6"/>
    <w:rsid w:val="006E735F"/>
    <w:rsid w:val="006E78EE"/>
    <w:rsid w:val="006E7E8D"/>
    <w:rsid w:val="006F032D"/>
    <w:rsid w:val="006F06A1"/>
    <w:rsid w:val="006F12CA"/>
    <w:rsid w:val="006F1505"/>
    <w:rsid w:val="006F154D"/>
    <w:rsid w:val="006F18AD"/>
    <w:rsid w:val="006F1C18"/>
    <w:rsid w:val="006F1E7F"/>
    <w:rsid w:val="006F1EFD"/>
    <w:rsid w:val="006F24E5"/>
    <w:rsid w:val="006F257A"/>
    <w:rsid w:val="006F269A"/>
    <w:rsid w:val="006F2CA0"/>
    <w:rsid w:val="006F2E7A"/>
    <w:rsid w:val="006F3098"/>
    <w:rsid w:val="006F33D5"/>
    <w:rsid w:val="006F33F3"/>
    <w:rsid w:val="006F3584"/>
    <w:rsid w:val="006F36EC"/>
    <w:rsid w:val="006F39E1"/>
    <w:rsid w:val="006F4E52"/>
    <w:rsid w:val="006F4F4C"/>
    <w:rsid w:val="006F4FE1"/>
    <w:rsid w:val="006F5550"/>
    <w:rsid w:val="006F6A2B"/>
    <w:rsid w:val="006F6F25"/>
    <w:rsid w:val="006F7250"/>
    <w:rsid w:val="006F7410"/>
    <w:rsid w:val="006F7E4F"/>
    <w:rsid w:val="00700663"/>
    <w:rsid w:val="0070071F"/>
    <w:rsid w:val="00700790"/>
    <w:rsid w:val="007007BD"/>
    <w:rsid w:val="00700ABD"/>
    <w:rsid w:val="00701524"/>
    <w:rsid w:val="00702801"/>
    <w:rsid w:val="00702AF7"/>
    <w:rsid w:val="00703395"/>
    <w:rsid w:val="00703501"/>
    <w:rsid w:val="0070469F"/>
    <w:rsid w:val="007048FD"/>
    <w:rsid w:val="007051A4"/>
    <w:rsid w:val="0070557F"/>
    <w:rsid w:val="00706096"/>
    <w:rsid w:val="00706159"/>
    <w:rsid w:val="007064A8"/>
    <w:rsid w:val="007064B2"/>
    <w:rsid w:val="0070656D"/>
    <w:rsid w:val="00706829"/>
    <w:rsid w:val="007068AB"/>
    <w:rsid w:val="00706CC7"/>
    <w:rsid w:val="007074FD"/>
    <w:rsid w:val="0070755C"/>
    <w:rsid w:val="007076BB"/>
    <w:rsid w:val="00710038"/>
    <w:rsid w:val="00710041"/>
    <w:rsid w:val="00710652"/>
    <w:rsid w:val="007109D0"/>
    <w:rsid w:val="007116E6"/>
    <w:rsid w:val="00711733"/>
    <w:rsid w:val="00711A7A"/>
    <w:rsid w:val="00711B88"/>
    <w:rsid w:val="007127DF"/>
    <w:rsid w:val="00712FC1"/>
    <w:rsid w:val="0071301B"/>
    <w:rsid w:val="007136F0"/>
    <w:rsid w:val="007143E6"/>
    <w:rsid w:val="00714DC1"/>
    <w:rsid w:val="007152E8"/>
    <w:rsid w:val="007155A9"/>
    <w:rsid w:val="00715928"/>
    <w:rsid w:val="00715B83"/>
    <w:rsid w:val="007163B9"/>
    <w:rsid w:val="00716447"/>
    <w:rsid w:val="007165AC"/>
    <w:rsid w:val="00716B63"/>
    <w:rsid w:val="00716DBF"/>
    <w:rsid w:val="00716EA5"/>
    <w:rsid w:val="0071736D"/>
    <w:rsid w:val="00717481"/>
    <w:rsid w:val="007177E7"/>
    <w:rsid w:val="00717BC0"/>
    <w:rsid w:val="007200C7"/>
    <w:rsid w:val="0072015D"/>
    <w:rsid w:val="00720494"/>
    <w:rsid w:val="00720E60"/>
    <w:rsid w:val="00720F7B"/>
    <w:rsid w:val="00721166"/>
    <w:rsid w:val="00721498"/>
    <w:rsid w:val="00722207"/>
    <w:rsid w:val="00722486"/>
    <w:rsid w:val="007226ED"/>
    <w:rsid w:val="00723F4B"/>
    <w:rsid w:val="00724407"/>
    <w:rsid w:val="007248C6"/>
    <w:rsid w:val="007248EE"/>
    <w:rsid w:val="00724AE9"/>
    <w:rsid w:val="00724EFB"/>
    <w:rsid w:val="0072518F"/>
    <w:rsid w:val="007257E0"/>
    <w:rsid w:val="00725B73"/>
    <w:rsid w:val="00725D94"/>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24AF"/>
    <w:rsid w:val="007328F1"/>
    <w:rsid w:val="0073303D"/>
    <w:rsid w:val="007346AA"/>
    <w:rsid w:val="00734801"/>
    <w:rsid w:val="00734E00"/>
    <w:rsid w:val="00735378"/>
    <w:rsid w:val="00735726"/>
    <w:rsid w:val="007359B3"/>
    <w:rsid w:val="00735CB8"/>
    <w:rsid w:val="00735F1C"/>
    <w:rsid w:val="00736116"/>
    <w:rsid w:val="00736A63"/>
    <w:rsid w:val="007374B1"/>
    <w:rsid w:val="007377B0"/>
    <w:rsid w:val="00737D7F"/>
    <w:rsid w:val="00740C09"/>
    <w:rsid w:val="00741830"/>
    <w:rsid w:val="007419A5"/>
    <w:rsid w:val="00742331"/>
    <w:rsid w:val="00742668"/>
    <w:rsid w:val="00742C4B"/>
    <w:rsid w:val="00742CC1"/>
    <w:rsid w:val="00742F7D"/>
    <w:rsid w:val="00743375"/>
    <w:rsid w:val="00743BE2"/>
    <w:rsid w:val="00744210"/>
    <w:rsid w:val="00744687"/>
    <w:rsid w:val="0074477F"/>
    <w:rsid w:val="00744E34"/>
    <w:rsid w:val="00745888"/>
    <w:rsid w:val="0074601D"/>
    <w:rsid w:val="007473C6"/>
    <w:rsid w:val="00747951"/>
    <w:rsid w:val="00747AE8"/>
    <w:rsid w:val="00747EB9"/>
    <w:rsid w:val="007501BA"/>
    <w:rsid w:val="0075025C"/>
    <w:rsid w:val="00750391"/>
    <w:rsid w:val="007506A7"/>
    <w:rsid w:val="00750ED6"/>
    <w:rsid w:val="007521DE"/>
    <w:rsid w:val="007538BD"/>
    <w:rsid w:val="00753A3E"/>
    <w:rsid w:val="007543C4"/>
    <w:rsid w:val="00755668"/>
    <w:rsid w:val="00755CFA"/>
    <w:rsid w:val="00755F9C"/>
    <w:rsid w:val="00756F12"/>
    <w:rsid w:val="00757CCA"/>
    <w:rsid w:val="007602A1"/>
    <w:rsid w:val="0076042F"/>
    <w:rsid w:val="007606F9"/>
    <w:rsid w:val="0076147E"/>
    <w:rsid w:val="007614F6"/>
    <w:rsid w:val="0076159C"/>
    <w:rsid w:val="007618DB"/>
    <w:rsid w:val="00761997"/>
    <w:rsid w:val="00761B4A"/>
    <w:rsid w:val="00761F26"/>
    <w:rsid w:val="00762222"/>
    <w:rsid w:val="007626C2"/>
    <w:rsid w:val="007629E5"/>
    <w:rsid w:val="00763A8E"/>
    <w:rsid w:val="00763E10"/>
    <w:rsid w:val="00764642"/>
    <w:rsid w:val="00764C22"/>
    <w:rsid w:val="0076535B"/>
    <w:rsid w:val="00765847"/>
    <w:rsid w:val="0076592B"/>
    <w:rsid w:val="007659FE"/>
    <w:rsid w:val="00766280"/>
    <w:rsid w:val="00766318"/>
    <w:rsid w:val="007664A8"/>
    <w:rsid w:val="00767DDB"/>
    <w:rsid w:val="00770C02"/>
    <w:rsid w:val="0077101D"/>
    <w:rsid w:val="007714C1"/>
    <w:rsid w:val="00773072"/>
    <w:rsid w:val="00773134"/>
    <w:rsid w:val="007732FA"/>
    <w:rsid w:val="00774252"/>
    <w:rsid w:val="0077436E"/>
    <w:rsid w:val="00774E52"/>
    <w:rsid w:val="007750D3"/>
    <w:rsid w:val="00775127"/>
    <w:rsid w:val="007759A5"/>
    <w:rsid w:val="00776179"/>
    <w:rsid w:val="007763A0"/>
    <w:rsid w:val="007767CE"/>
    <w:rsid w:val="00777364"/>
    <w:rsid w:val="007777C4"/>
    <w:rsid w:val="00777B0A"/>
    <w:rsid w:val="00777B51"/>
    <w:rsid w:val="00780494"/>
    <w:rsid w:val="0078201A"/>
    <w:rsid w:val="00782A60"/>
    <w:rsid w:val="00782BA7"/>
    <w:rsid w:val="00783491"/>
    <w:rsid w:val="00783ADB"/>
    <w:rsid w:val="00783B02"/>
    <w:rsid w:val="007842C5"/>
    <w:rsid w:val="00784586"/>
    <w:rsid w:val="00784699"/>
    <w:rsid w:val="00784CBC"/>
    <w:rsid w:val="00785095"/>
    <w:rsid w:val="0078534A"/>
    <w:rsid w:val="00785585"/>
    <w:rsid w:val="00785604"/>
    <w:rsid w:val="007867AE"/>
    <w:rsid w:val="00787A23"/>
    <w:rsid w:val="00787BFF"/>
    <w:rsid w:val="0079006F"/>
    <w:rsid w:val="007903C6"/>
    <w:rsid w:val="00791628"/>
    <w:rsid w:val="00791DB6"/>
    <w:rsid w:val="00792910"/>
    <w:rsid w:val="00792A3D"/>
    <w:rsid w:val="007931DE"/>
    <w:rsid w:val="00793EE4"/>
    <w:rsid w:val="0079403F"/>
    <w:rsid w:val="00794216"/>
    <w:rsid w:val="00794817"/>
    <w:rsid w:val="00795410"/>
    <w:rsid w:val="00795434"/>
    <w:rsid w:val="00795838"/>
    <w:rsid w:val="00795B30"/>
    <w:rsid w:val="00795C4D"/>
    <w:rsid w:val="00795FD8"/>
    <w:rsid w:val="007960D3"/>
    <w:rsid w:val="00796222"/>
    <w:rsid w:val="0079626F"/>
    <w:rsid w:val="00796374"/>
    <w:rsid w:val="00796587"/>
    <w:rsid w:val="00796A9F"/>
    <w:rsid w:val="00797044"/>
    <w:rsid w:val="007976FC"/>
    <w:rsid w:val="00797D15"/>
    <w:rsid w:val="007A0203"/>
    <w:rsid w:val="007A080E"/>
    <w:rsid w:val="007A1F4B"/>
    <w:rsid w:val="007A20BE"/>
    <w:rsid w:val="007A23C4"/>
    <w:rsid w:val="007A2998"/>
    <w:rsid w:val="007A2BB2"/>
    <w:rsid w:val="007A3A38"/>
    <w:rsid w:val="007A3A94"/>
    <w:rsid w:val="007A4451"/>
    <w:rsid w:val="007A57F8"/>
    <w:rsid w:val="007A5AEE"/>
    <w:rsid w:val="007A5F17"/>
    <w:rsid w:val="007A6516"/>
    <w:rsid w:val="007A65DF"/>
    <w:rsid w:val="007A66F6"/>
    <w:rsid w:val="007A687C"/>
    <w:rsid w:val="007A6D88"/>
    <w:rsid w:val="007A7E3E"/>
    <w:rsid w:val="007B0889"/>
    <w:rsid w:val="007B0ABB"/>
    <w:rsid w:val="007B0B01"/>
    <w:rsid w:val="007B0DE0"/>
    <w:rsid w:val="007B1376"/>
    <w:rsid w:val="007B1558"/>
    <w:rsid w:val="007B1B06"/>
    <w:rsid w:val="007B227F"/>
    <w:rsid w:val="007B2534"/>
    <w:rsid w:val="007B2C57"/>
    <w:rsid w:val="007B3BFF"/>
    <w:rsid w:val="007B44B8"/>
    <w:rsid w:val="007B4664"/>
    <w:rsid w:val="007B4831"/>
    <w:rsid w:val="007B5376"/>
    <w:rsid w:val="007B5587"/>
    <w:rsid w:val="007B55B9"/>
    <w:rsid w:val="007B585A"/>
    <w:rsid w:val="007B5C7D"/>
    <w:rsid w:val="007B6185"/>
    <w:rsid w:val="007B63FF"/>
    <w:rsid w:val="007B6821"/>
    <w:rsid w:val="007B6A27"/>
    <w:rsid w:val="007B72FC"/>
    <w:rsid w:val="007B76E7"/>
    <w:rsid w:val="007C015D"/>
    <w:rsid w:val="007C0726"/>
    <w:rsid w:val="007C1B87"/>
    <w:rsid w:val="007C1C44"/>
    <w:rsid w:val="007C2126"/>
    <w:rsid w:val="007C238E"/>
    <w:rsid w:val="007C2646"/>
    <w:rsid w:val="007C27D7"/>
    <w:rsid w:val="007C3384"/>
    <w:rsid w:val="007C3A16"/>
    <w:rsid w:val="007C3A9E"/>
    <w:rsid w:val="007C4065"/>
    <w:rsid w:val="007C448C"/>
    <w:rsid w:val="007C4639"/>
    <w:rsid w:val="007C5363"/>
    <w:rsid w:val="007C59C2"/>
    <w:rsid w:val="007C5AF2"/>
    <w:rsid w:val="007C5D77"/>
    <w:rsid w:val="007C5DDA"/>
    <w:rsid w:val="007C62BE"/>
    <w:rsid w:val="007C63DA"/>
    <w:rsid w:val="007C6EE5"/>
    <w:rsid w:val="007C6F5A"/>
    <w:rsid w:val="007C6FF4"/>
    <w:rsid w:val="007C7516"/>
    <w:rsid w:val="007C78C8"/>
    <w:rsid w:val="007C7A6A"/>
    <w:rsid w:val="007C7FA7"/>
    <w:rsid w:val="007C7FE9"/>
    <w:rsid w:val="007D0623"/>
    <w:rsid w:val="007D06D3"/>
    <w:rsid w:val="007D0C9F"/>
    <w:rsid w:val="007D115A"/>
    <w:rsid w:val="007D1257"/>
    <w:rsid w:val="007D1822"/>
    <w:rsid w:val="007D1FC1"/>
    <w:rsid w:val="007D283F"/>
    <w:rsid w:val="007D3398"/>
    <w:rsid w:val="007D38DD"/>
    <w:rsid w:val="007D3A93"/>
    <w:rsid w:val="007D3D4C"/>
    <w:rsid w:val="007D4371"/>
    <w:rsid w:val="007D447A"/>
    <w:rsid w:val="007D45FB"/>
    <w:rsid w:val="007D462F"/>
    <w:rsid w:val="007D46A0"/>
    <w:rsid w:val="007D4881"/>
    <w:rsid w:val="007D48BD"/>
    <w:rsid w:val="007D4DC6"/>
    <w:rsid w:val="007D6072"/>
    <w:rsid w:val="007D610B"/>
    <w:rsid w:val="007D621F"/>
    <w:rsid w:val="007D6248"/>
    <w:rsid w:val="007D69A0"/>
    <w:rsid w:val="007D6C57"/>
    <w:rsid w:val="007D73B0"/>
    <w:rsid w:val="007D7952"/>
    <w:rsid w:val="007D7D13"/>
    <w:rsid w:val="007E08F0"/>
    <w:rsid w:val="007E0B89"/>
    <w:rsid w:val="007E1454"/>
    <w:rsid w:val="007E22C2"/>
    <w:rsid w:val="007E33ED"/>
    <w:rsid w:val="007E353A"/>
    <w:rsid w:val="007E3623"/>
    <w:rsid w:val="007E3993"/>
    <w:rsid w:val="007E3E9F"/>
    <w:rsid w:val="007E3EB4"/>
    <w:rsid w:val="007E3EE6"/>
    <w:rsid w:val="007E41E0"/>
    <w:rsid w:val="007E4B1B"/>
    <w:rsid w:val="007E53C3"/>
    <w:rsid w:val="007E5554"/>
    <w:rsid w:val="007E56CD"/>
    <w:rsid w:val="007E5755"/>
    <w:rsid w:val="007E5990"/>
    <w:rsid w:val="007E5CDF"/>
    <w:rsid w:val="007E6A4F"/>
    <w:rsid w:val="007E793C"/>
    <w:rsid w:val="007E7D7A"/>
    <w:rsid w:val="007F00A1"/>
    <w:rsid w:val="007F0903"/>
    <w:rsid w:val="007F16D0"/>
    <w:rsid w:val="007F20E9"/>
    <w:rsid w:val="007F22A7"/>
    <w:rsid w:val="007F2434"/>
    <w:rsid w:val="007F2B91"/>
    <w:rsid w:val="007F2F5A"/>
    <w:rsid w:val="007F40B7"/>
    <w:rsid w:val="007F4EA3"/>
    <w:rsid w:val="007F4EFB"/>
    <w:rsid w:val="007F55CB"/>
    <w:rsid w:val="007F5632"/>
    <w:rsid w:val="007F5806"/>
    <w:rsid w:val="007F5D34"/>
    <w:rsid w:val="007F5EDD"/>
    <w:rsid w:val="007F5F90"/>
    <w:rsid w:val="007F61D0"/>
    <w:rsid w:val="007F6E4E"/>
    <w:rsid w:val="007F75E9"/>
    <w:rsid w:val="007F7BDA"/>
    <w:rsid w:val="00800747"/>
    <w:rsid w:val="0080116C"/>
    <w:rsid w:val="00801416"/>
    <w:rsid w:val="00801AEC"/>
    <w:rsid w:val="00801F1E"/>
    <w:rsid w:val="008023E5"/>
    <w:rsid w:val="008023F2"/>
    <w:rsid w:val="00802401"/>
    <w:rsid w:val="00802D01"/>
    <w:rsid w:val="00803082"/>
    <w:rsid w:val="0080323A"/>
    <w:rsid w:val="008034DC"/>
    <w:rsid w:val="00803C0C"/>
    <w:rsid w:val="00803E37"/>
    <w:rsid w:val="00804F3B"/>
    <w:rsid w:val="00805087"/>
    <w:rsid w:val="00805FBC"/>
    <w:rsid w:val="008061DC"/>
    <w:rsid w:val="00806226"/>
    <w:rsid w:val="0080646F"/>
    <w:rsid w:val="008067BC"/>
    <w:rsid w:val="00807049"/>
    <w:rsid w:val="008072FA"/>
    <w:rsid w:val="00807444"/>
    <w:rsid w:val="00807470"/>
    <w:rsid w:val="00807B06"/>
    <w:rsid w:val="00807D59"/>
    <w:rsid w:val="0081009F"/>
    <w:rsid w:val="00810279"/>
    <w:rsid w:val="008103A5"/>
    <w:rsid w:val="00810518"/>
    <w:rsid w:val="008105B6"/>
    <w:rsid w:val="0081064D"/>
    <w:rsid w:val="00810D13"/>
    <w:rsid w:val="00811016"/>
    <w:rsid w:val="00811CBB"/>
    <w:rsid w:val="008126C6"/>
    <w:rsid w:val="008127D8"/>
    <w:rsid w:val="00812968"/>
    <w:rsid w:val="00812AB8"/>
    <w:rsid w:val="0081311D"/>
    <w:rsid w:val="0081367A"/>
    <w:rsid w:val="008136DE"/>
    <w:rsid w:val="0081399B"/>
    <w:rsid w:val="00813A50"/>
    <w:rsid w:val="00813C4C"/>
    <w:rsid w:val="00813EB6"/>
    <w:rsid w:val="00813EF0"/>
    <w:rsid w:val="00813F8F"/>
    <w:rsid w:val="00814109"/>
    <w:rsid w:val="008147D2"/>
    <w:rsid w:val="00814FE0"/>
    <w:rsid w:val="0081529F"/>
    <w:rsid w:val="00815357"/>
    <w:rsid w:val="00816377"/>
    <w:rsid w:val="0081674A"/>
    <w:rsid w:val="008168E7"/>
    <w:rsid w:val="00816E01"/>
    <w:rsid w:val="008171D5"/>
    <w:rsid w:val="00817551"/>
    <w:rsid w:val="008201B4"/>
    <w:rsid w:val="00820698"/>
    <w:rsid w:val="0082093F"/>
    <w:rsid w:val="008209B5"/>
    <w:rsid w:val="00820A07"/>
    <w:rsid w:val="00820A81"/>
    <w:rsid w:val="00820ECD"/>
    <w:rsid w:val="0082103D"/>
    <w:rsid w:val="00821580"/>
    <w:rsid w:val="00821A8D"/>
    <w:rsid w:val="00821ADD"/>
    <w:rsid w:val="00821B31"/>
    <w:rsid w:val="00821BB5"/>
    <w:rsid w:val="008221E8"/>
    <w:rsid w:val="00822289"/>
    <w:rsid w:val="00822549"/>
    <w:rsid w:val="0082269C"/>
    <w:rsid w:val="00822942"/>
    <w:rsid w:val="008230D5"/>
    <w:rsid w:val="00823295"/>
    <w:rsid w:val="00823534"/>
    <w:rsid w:val="00823E67"/>
    <w:rsid w:val="008242CB"/>
    <w:rsid w:val="00824608"/>
    <w:rsid w:val="00824B08"/>
    <w:rsid w:val="00824CD4"/>
    <w:rsid w:val="00825167"/>
    <w:rsid w:val="00825567"/>
    <w:rsid w:val="008259B2"/>
    <w:rsid w:val="00825A69"/>
    <w:rsid w:val="00826404"/>
    <w:rsid w:val="00826440"/>
    <w:rsid w:val="008275C4"/>
    <w:rsid w:val="00827BFE"/>
    <w:rsid w:val="00827FCD"/>
    <w:rsid w:val="0083008C"/>
    <w:rsid w:val="00830421"/>
    <w:rsid w:val="008309E7"/>
    <w:rsid w:val="0083118C"/>
    <w:rsid w:val="008319B3"/>
    <w:rsid w:val="00832835"/>
    <w:rsid w:val="00832AED"/>
    <w:rsid w:val="00832C8E"/>
    <w:rsid w:val="00833118"/>
    <w:rsid w:val="00833256"/>
    <w:rsid w:val="00833ABA"/>
    <w:rsid w:val="00833D86"/>
    <w:rsid w:val="008341F0"/>
    <w:rsid w:val="0083497A"/>
    <w:rsid w:val="00834A2D"/>
    <w:rsid w:val="00834AEF"/>
    <w:rsid w:val="00835ADF"/>
    <w:rsid w:val="00835D65"/>
    <w:rsid w:val="00836400"/>
    <w:rsid w:val="00836B3D"/>
    <w:rsid w:val="00836C68"/>
    <w:rsid w:val="00836D0B"/>
    <w:rsid w:val="00836EF8"/>
    <w:rsid w:val="00837AC9"/>
    <w:rsid w:val="00837B7B"/>
    <w:rsid w:val="00837D21"/>
    <w:rsid w:val="00840291"/>
    <w:rsid w:val="008402BF"/>
    <w:rsid w:val="00840498"/>
    <w:rsid w:val="00840523"/>
    <w:rsid w:val="0084099C"/>
    <w:rsid w:val="0084117D"/>
    <w:rsid w:val="00841B38"/>
    <w:rsid w:val="008421B0"/>
    <w:rsid w:val="00842D55"/>
    <w:rsid w:val="00843206"/>
    <w:rsid w:val="008432C8"/>
    <w:rsid w:val="008435D4"/>
    <w:rsid w:val="00843788"/>
    <w:rsid w:val="00843918"/>
    <w:rsid w:val="00843FD3"/>
    <w:rsid w:val="00843FD7"/>
    <w:rsid w:val="008446E6"/>
    <w:rsid w:val="00844768"/>
    <w:rsid w:val="00844943"/>
    <w:rsid w:val="008449D9"/>
    <w:rsid w:val="0084558F"/>
    <w:rsid w:val="008459E2"/>
    <w:rsid w:val="00845E2F"/>
    <w:rsid w:val="00846950"/>
    <w:rsid w:val="00846AB3"/>
    <w:rsid w:val="0084737B"/>
    <w:rsid w:val="0084755C"/>
    <w:rsid w:val="00847588"/>
    <w:rsid w:val="00847601"/>
    <w:rsid w:val="00847EEE"/>
    <w:rsid w:val="0085056C"/>
    <w:rsid w:val="008508F1"/>
    <w:rsid w:val="00851936"/>
    <w:rsid w:val="00851A3F"/>
    <w:rsid w:val="00851DEC"/>
    <w:rsid w:val="00852070"/>
    <w:rsid w:val="00852672"/>
    <w:rsid w:val="00853139"/>
    <w:rsid w:val="00854037"/>
    <w:rsid w:val="00854065"/>
    <w:rsid w:val="0085433D"/>
    <w:rsid w:val="00854994"/>
    <w:rsid w:val="00854999"/>
    <w:rsid w:val="00854E4B"/>
    <w:rsid w:val="008553F1"/>
    <w:rsid w:val="0085563C"/>
    <w:rsid w:val="0085583B"/>
    <w:rsid w:val="008558B3"/>
    <w:rsid w:val="008558CC"/>
    <w:rsid w:val="00855A32"/>
    <w:rsid w:val="0085601B"/>
    <w:rsid w:val="00856AAC"/>
    <w:rsid w:val="00857CF6"/>
    <w:rsid w:val="00857FCD"/>
    <w:rsid w:val="00860B93"/>
    <w:rsid w:val="00860DEB"/>
    <w:rsid w:val="00860EF6"/>
    <w:rsid w:val="0086165B"/>
    <w:rsid w:val="008621D4"/>
    <w:rsid w:val="00862304"/>
    <w:rsid w:val="008624BA"/>
    <w:rsid w:val="00862861"/>
    <w:rsid w:val="00862A08"/>
    <w:rsid w:val="00863C8A"/>
    <w:rsid w:val="00864127"/>
    <w:rsid w:val="0086494E"/>
    <w:rsid w:val="008651A3"/>
    <w:rsid w:val="00865978"/>
    <w:rsid w:val="00865981"/>
    <w:rsid w:val="008663D0"/>
    <w:rsid w:val="008669A4"/>
    <w:rsid w:val="00866B3C"/>
    <w:rsid w:val="00866E95"/>
    <w:rsid w:val="008672AC"/>
    <w:rsid w:val="00867423"/>
    <w:rsid w:val="00867ACD"/>
    <w:rsid w:val="00870067"/>
    <w:rsid w:val="00870754"/>
    <w:rsid w:val="008708C8"/>
    <w:rsid w:val="00870A00"/>
    <w:rsid w:val="0087153F"/>
    <w:rsid w:val="008719FB"/>
    <w:rsid w:val="00872AB8"/>
    <w:rsid w:val="00872B73"/>
    <w:rsid w:val="00872E18"/>
    <w:rsid w:val="00872EF5"/>
    <w:rsid w:val="008738E5"/>
    <w:rsid w:val="00873DC0"/>
    <w:rsid w:val="0087412E"/>
    <w:rsid w:val="0087423F"/>
    <w:rsid w:val="00874555"/>
    <w:rsid w:val="0087479E"/>
    <w:rsid w:val="0087536B"/>
    <w:rsid w:val="00875BE8"/>
    <w:rsid w:val="00875D57"/>
    <w:rsid w:val="00876684"/>
    <w:rsid w:val="008772A6"/>
    <w:rsid w:val="00877D0D"/>
    <w:rsid w:val="00877E1B"/>
    <w:rsid w:val="008800EA"/>
    <w:rsid w:val="00880D38"/>
    <w:rsid w:val="00881199"/>
    <w:rsid w:val="0088131C"/>
    <w:rsid w:val="008814C7"/>
    <w:rsid w:val="008824E7"/>
    <w:rsid w:val="00882AD6"/>
    <w:rsid w:val="00882B16"/>
    <w:rsid w:val="00882CAB"/>
    <w:rsid w:val="00882DF9"/>
    <w:rsid w:val="008837A4"/>
    <w:rsid w:val="008838FA"/>
    <w:rsid w:val="008842CF"/>
    <w:rsid w:val="008849F3"/>
    <w:rsid w:val="00884E3A"/>
    <w:rsid w:val="0088516A"/>
    <w:rsid w:val="00885187"/>
    <w:rsid w:val="008856FD"/>
    <w:rsid w:val="008859D2"/>
    <w:rsid w:val="00885D3A"/>
    <w:rsid w:val="00886AD9"/>
    <w:rsid w:val="0088715F"/>
    <w:rsid w:val="008876D1"/>
    <w:rsid w:val="00887ADF"/>
    <w:rsid w:val="00887F45"/>
    <w:rsid w:val="008907E0"/>
    <w:rsid w:val="00890864"/>
    <w:rsid w:val="00890FB9"/>
    <w:rsid w:val="008913DA"/>
    <w:rsid w:val="00891461"/>
    <w:rsid w:val="00891B1F"/>
    <w:rsid w:val="00891BB5"/>
    <w:rsid w:val="00892A1F"/>
    <w:rsid w:val="00892B61"/>
    <w:rsid w:val="00892C1E"/>
    <w:rsid w:val="00892F7D"/>
    <w:rsid w:val="008935A3"/>
    <w:rsid w:val="00893613"/>
    <w:rsid w:val="00893AB4"/>
    <w:rsid w:val="00893B38"/>
    <w:rsid w:val="00893C34"/>
    <w:rsid w:val="00894534"/>
    <w:rsid w:val="00895559"/>
    <w:rsid w:val="00895C03"/>
    <w:rsid w:val="00895F31"/>
    <w:rsid w:val="008963F5"/>
    <w:rsid w:val="008966E7"/>
    <w:rsid w:val="00896A63"/>
    <w:rsid w:val="00897CD0"/>
    <w:rsid w:val="008A0209"/>
    <w:rsid w:val="008A0620"/>
    <w:rsid w:val="008A09F6"/>
    <w:rsid w:val="008A14F6"/>
    <w:rsid w:val="008A26B9"/>
    <w:rsid w:val="008A2970"/>
    <w:rsid w:val="008A32DE"/>
    <w:rsid w:val="008A3331"/>
    <w:rsid w:val="008A3406"/>
    <w:rsid w:val="008A360A"/>
    <w:rsid w:val="008A3A85"/>
    <w:rsid w:val="008A3B3D"/>
    <w:rsid w:val="008A3BEC"/>
    <w:rsid w:val="008A4563"/>
    <w:rsid w:val="008A4E03"/>
    <w:rsid w:val="008A541D"/>
    <w:rsid w:val="008A5544"/>
    <w:rsid w:val="008A5DCB"/>
    <w:rsid w:val="008A6027"/>
    <w:rsid w:val="008A616D"/>
    <w:rsid w:val="008A6936"/>
    <w:rsid w:val="008A77AB"/>
    <w:rsid w:val="008A7C7C"/>
    <w:rsid w:val="008B09E0"/>
    <w:rsid w:val="008B0EFC"/>
    <w:rsid w:val="008B1447"/>
    <w:rsid w:val="008B2721"/>
    <w:rsid w:val="008B2E14"/>
    <w:rsid w:val="008B2EEB"/>
    <w:rsid w:val="008B2F1E"/>
    <w:rsid w:val="008B3070"/>
    <w:rsid w:val="008B3124"/>
    <w:rsid w:val="008B3DEB"/>
    <w:rsid w:val="008B3E2D"/>
    <w:rsid w:val="008B469A"/>
    <w:rsid w:val="008B4C55"/>
    <w:rsid w:val="008B4F47"/>
    <w:rsid w:val="008B57C1"/>
    <w:rsid w:val="008B59E0"/>
    <w:rsid w:val="008B5D62"/>
    <w:rsid w:val="008B5E00"/>
    <w:rsid w:val="008B5FD0"/>
    <w:rsid w:val="008B6F62"/>
    <w:rsid w:val="008B70E1"/>
    <w:rsid w:val="008B712F"/>
    <w:rsid w:val="008B78E0"/>
    <w:rsid w:val="008B7E53"/>
    <w:rsid w:val="008C03F1"/>
    <w:rsid w:val="008C0417"/>
    <w:rsid w:val="008C0CAC"/>
    <w:rsid w:val="008C0EAD"/>
    <w:rsid w:val="008C1538"/>
    <w:rsid w:val="008C1815"/>
    <w:rsid w:val="008C1DDC"/>
    <w:rsid w:val="008C27E7"/>
    <w:rsid w:val="008C29EA"/>
    <w:rsid w:val="008C2D71"/>
    <w:rsid w:val="008C3245"/>
    <w:rsid w:val="008C352E"/>
    <w:rsid w:val="008C3B37"/>
    <w:rsid w:val="008C3C1F"/>
    <w:rsid w:val="008C4230"/>
    <w:rsid w:val="008C43F8"/>
    <w:rsid w:val="008C4670"/>
    <w:rsid w:val="008C4A09"/>
    <w:rsid w:val="008C4D5D"/>
    <w:rsid w:val="008C5982"/>
    <w:rsid w:val="008C5A79"/>
    <w:rsid w:val="008C5FAB"/>
    <w:rsid w:val="008C6030"/>
    <w:rsid w:val="008C6784"/>
    <w:rsid w:val="008C7549"/>
    <w:rsid w:val="008C790B"/>
    <w:rsid w:val="008D0BB5"/>
    <w:rsid w:val="008D17B2"/>
    <w:rsid w:val="008D1A4D"/>
    <w:rsid w:val="008D22EA"/>
    <w:rsid w:val="008D24EF"/>
    <w:rsid w:val="008D3467"/>
    <w:rsid w:val="008D4017"/>
    <w:rsid w:val="008D4285"/>
    <w:rsid w:val="008D4540"/>
    <w:rsid w:val="008D4EA1"/>
    <w:rsid w:val="008D5541"/>
    <w:rsid w:val="008D59D4"/>
    <w:rsid w:val="008D5F0D"/>
    <w:rsid w:val="008D67F2"/>
    <w:rsid w:val="008D6A49"/>
    <w:rsid w:val="008D6CB7"/>
    <w:rsid w:val="008D6CE5"/>
    <w:rsid w:val="008D76BB"/>
    <w:rsid w:val="008E0783"/>
    <w:rsid w:val="008E0A83"/>
    <w:rsid w:val="008E0E36"/>
    <w:rsid w:val="008E0F12"/>
    <w:rsid w:val="008E0F5F"/>
    <w:rsid w:val="008E1222"/>
    <w:rsid w:val="008E18E6"/>
    <w:rsid w:val="008E1A9D"/>
    <w:rsid w:val="008E1ABE"/>
    <w:rsid w:val="008E27A4"/>
    <w:rsid w:val="008E295D"/>
    <w:rsid w:val="008E2C90"/>
    <w:rsid w:val="008E2D58"/>
    <w:rsid w:val="008E301E"/>
    <w:rsid w:val="008E35CD"/>
    <w:rsid w:val="008E3FD5"/>
    <w:rsid w:val="008E40FE"/>
    <w:rsid w:val="008E4244"/>
    <w:rsid w:val="008E442C"/>
    <w:rsid w:val="008E4A38"/>
    <w:rsid w:val="008E4F57"/>
    <w:rsid w:val="008E549D"/>
    <w:rsid w:val="008E666F"/>
    <w:rsid w:val="008E68EF"/>
    <w:rsid w:val="008E69CB"/>
    <w:rsid w:val="008E772F"/>
    <w:rsid w:val="008E77D4"/>
    <w:rsid w:val="008E7861"/>
    <w:rsid w:val="008E7DA1"/>
    <w:rsid w:val="008E7ED5"/>
    <w:rsid w:val="008F025A"/>
    <w:rsid w:val="008F031D"/>
    <w:rsid w:val="008F06F5"/>
    <w:rsid w:val="008F0ADA"/>
    <w:rsid w:val="008F0E73"/>
    <w:rsid w:val="008F1202"/>
    <w:rsid w:val="008F1645"/>
    <w:rsid w:val="008F1C4B"/>
    <w:rsid w:val="008F2127"/>
    <w:rsid w:val="008F2219"/>
    <w:rsid w:val="008F2281"/>
    <w:rsid w:val="008F229B"/>
    <w:rsid w:val="008F2ADC"/>
    <w:rsid w:val="008F2DC7"/>
    <w:rsid w:val="008F2DD7"/>
    <w:rsid w:val="008F31BE"/>
    <w:rsid w:val="008F3866"/>
    <w:rsid w:val="008F3FA7"/>
    <w:rsid w:val="008F41EB"/>
    <w:rsid w:val="008F4264"/>
    <w:rsid w:val="008F44EA"/>
    <w:rsid w:val="008F4581"/>
    <w:rsid w:val="008F4D2F"/>
    <w:rsid w:val="008F4E86"/>
    <w:rsid w:val="008F573A"/>
    <w:rsid w:val="008F59DD"/>
    <w:rsid w:val="008F5FDE"/>
    <w:rsid w:val="008F6034"/>
    <w:rsid w:val="008F6449"/>
    <w:rsid w:val="008F6477"/>
    <w:rsid w:val="008F6591"/>
    <w:rsid w:val="008F65F8"/>
    <w:rsid w:val="008F6EF1"/>
    <w:rsid w:val="008F749F"/>
    <w:rsid w:val="00900384"/>
    <w:rsid w:val="00900BA7"/>
    <w:rsid w:val="00900C0E"/>
    <w:rsid w:val="00900D77"/>
    <w:rsid w:val="00901BE2"/>
    <w:rsid w:val="00902396"/>
    <w:rsid w:val="0090295D"/>
    <w:rsid w:val="00902D47"/>
    <w:rsid w:val="00902F49"/>
    <w:rsid w:val="009038E5"/>
    <w:rsid w:val="00903C4F"/>
    <w:rsid w:val="00903FA5"/>
    <w:rsid w:val="00904036"/>
    <w:rsid w:val="00904860"/>
    <w:rsid w:val="009049E3"/>
    <w:rsid w:val="00904EC3"/>
    <w:rsid w:val="0090526F"/>
    <w:rsid w:val="009058ED"/>
    <w:rsid w:val="00905B43"/>
    <w:rsid w:val="00906927"/>
    <w:rsid w:val="00906A01"/>
    <w:rsid w:val="00907163"/>
    <w:rsid w:val="009072C7"/>
    <w:rsid w:val="0090759A"/>
    <w:rsid w:val="0090788C"/>
    <w:rsid w:val="00907A06"/>
    <w:rsid w:val="00907D12"/>
    <w:rsid w:val="009105EB"/>
    <w:rsid w:val="009105FD"/>
    <w:rsid w:val="009109FF"/>
    <w:rsid w:val="00910C34"/>
    <w:rsid w:val="0091100B"/>
    <w:rsid w:val="00911790"/>
    <w:rsid w:val="00911BE7"/>
    <w:rsid w:val="009128D6"/>
    <w:rsid w:val="00912FBA"/>
    <w:rsid w:val="00913159"/>
    <w:rsid w:val="00913284"/>
    <w:rsid w:val="00913C94"/>
    <w:rsid w:val="009143EF"/>
    <w:rsid w:val="0091462B"/>
    <w:rsid w:val="00914727"/>
    <w:rsid w:val="0091477B"/>
    <w:rsid w:val="00914893"/>
    <w:rsid w:val="00915030"/>
    <w:rsid w:val="009150A5"/>
    <w:rsid w:val="0091510C"/>
    <w:rsid w:val="00915251"/>
    <w:rsid w:val="0091526A"/>
    <w:rsid w:val="00915640"/>
    <w:rsid w:val="0091567C"/>
    <w:rsid w:val="00915D6B"/>
    <w:rsid w:val="00916AC0"/>
    <w:rsid w:val="00916B92"/>
    <w:rsid w:val="00916BA3"/>
    <w:rsid w:val="00916D1F"/>
    <w:rsid w:val="00916FB7"/>
    <w:rsid w:val="009175C7"/>
    <w:rsid w:val="00917EF2"/>
    <w:rsid w:val="00917F58"/>
    <w:rsid w:val="009209B6"/>
    <w:rsid w:val="00920F73"/>
    <w:rsid w:val="00921477"/>
    <w:rsid w:val="00921569"/>
    <w:rsid w:val="00921676"/>
    <w:rsid w:val="00921760"/>
    <w:rsid w:val="00921B00"/>
    <w:rsid w:val="00921E9A"/>
    <w:rsid w:val="00922332"/>
    <w:rsid w:val="00922748"/>
    <w:rsid w:val="00922F6D"/>
    <w:rsid w:val="00923019"/>
    <w:rsid w:val="00923259"/>
    <w:rsid w:val="00923526"/>
    <w:rsid w:val="009235AF"/>
    <w:rsid w:val="00923992"/>
    <w:rsid w:val="009239EA"/>
    <w:rsid w:val="00923B6B"/>
    <w:rsid w:val="00924007"/>
    <w:rsid w:val="0092432C"/>
    <w:rsid w:val="009245B2"/>
    <w:rsid w:val="00926727"/>
    <w:rsid w:val="00926A16"/>
    <w:rsid w:val="00926D98"/>
    <w:rsid w:val="009271FC"/>
    <w:rsid w:val="00927375"/>
    <w:rsid w:val="009278AF"/>
    <w:rsid w:val="00927919"/>
    <w:rsid w:val="00930147"/>
    <w:rsid w:val="009312EF"/>
    <w:rsid w:val="009313B1"/>
    <w:rsid w:val="009313FE"/>
    <w:rsid w:val="009328B2"/>
    <w:rsid w:val="00932944"/>
    <w:rsid w:val="00932BA7"/>
    <w:rsid w:val="009333AA"/>
    <w:rsid w:val="00934B92"/>
    <w:rsid w:val="00934D79"/>
    <w:rsid w:val="00935188"/>
    <w:rsid w:val="00935343"/>
    <w:rsid w:val="00935363"/>
    <w:rsid w:val="0093549F"/>
    <w:rsid w:val="00935618"/>
    <w:rsid w:val="00935637"/>
    <w:rsid w:val="00935D12"/>
    <w:rsid w:val="0093602D"/>
    <w:rsid w:val="009368DD"/>
    <w:rsid w:val="00936A55"/>
    <w:rsid w:val="00936AE7"/>
    <w:rsid w:val="00936C0E"/>
    <w:rsid w:val="0093738E"/>
    <w:rsid w:val="00937452"/>
    <w:rsid w:val="00937E3C"/>
    <w:rsid w:val="0094046A"/>
    <w:rsid w:val="009404A4"/>
    <w:rsid w:val="0094062A"/>
    <w:rsid w:val="00940A1B"/>
    <w:rsid w:val="00940C72"/>
    <w:rsid w:val="00940EAA"/>
    <w:rsid w:val="00941197"/>
    <w:rsid w:val="00941252"/>
    <w:rsid w:val="00941631"/>
    <w:rsid w:val="0094172C"/>
    <w:rsid w:val="00941C3F"/>
    <w:rsid w:val="009420D1"/>
    <w:rsid w:val="00942A19"/>
    <w:rsid w:val="00942C0E"/>
    <w:rsid w:val="00943071"/>
    <w:rsid w:val="00944B0A"/>
    <w:rsid w:val="00945045"/>
    <w:rsid w:val="00945092"/>
    <w:rsid w:val="009454BB"/>
    <w:rsid w:val="00945699"/>
    <w:rsid w:val="009456A4"/>
    <w:rsid w:val="00945C5C"/>
    <w:rsid w:val="00945F30"/>
    <w:rsid w:val="00946480"/>
    <w:rsid w:val="009464FC"/>
    <w:rsid w:val="0094685D"/>
    <w:rsid w:val="009469F4"/>
    <w:rsid w:val="00946E7A"/>
    <w:rsid w:val="00947950"/>
    <w:rsid w:val="009501BA"/>
    <w:rsid w:val="009503FA"/>
    <w:rsid w:val="00950AE4"/>
    <w:rsid w:val="00950E73"/>
    <w:rsid w:val="00950EB1"/>
    <w:rsid w:val="00951192"/>
    <w:rsid w:val="0095127F"/>
    <w:rsid w:val="00951A68"/>
    <w:rsid w:val="00951ACA"/>
    <w:rsid w:val="00952285"/>
    <w:rsid w:val="00952C41"/>
    <w:rsid w:val="0095377E"/>
    <w:rsid w:val="00954034"/>
    <w:rsid w:val="0095425E"/>
    <w:rsid w:val="009543DE"/>
    <w:rsid w:val="00954441"/>
    <w:rsid w:val="00954AB9"/>
    <w:rsid w:val="009557AA"/>
    <w:rsid w:val="00955807"/>
    <w:rsid w:val="009568B4"/>
    <w:rsid w:val="00956ECE"/>
    <w:rsid w:val="0095708D"/>
    <w:rsid w:val="009574BC"/>
    <w:rsid w:val="009575F9"/>
    <w:rsid w:val="009577BB"/>
    <w:rsid w:val="00957CFC"/>
    <w:rsid w:val="00957CFD"/>
    <w:rsid w:val="00957E29"/>
    <w:rsid w:val="00957E96"/>
    <w:rsid w:val="00960205"/>
    <w:rsid w:val="00960324"/>
    <w:rsid w:val="00960330"/>
    <w:rsid w:val="00960931"/>
    <w:rsid w:val="00960B7A"/>
    <w:rsid w:val="00960C5D"/>
    <w:rsid w:val="00960DEF"/>
    <w:rsid w:val="00960F98"/>
    <w:rsid w:val="009611DF"/>
    <w:rsid w:val="009617D9"/>
    <w:rsid w:val="00961818"/>
    <w:rsid w:val="009619FD"/>
    <w:rsid w:val="0096201C"/>
    <w:rsid w:val="0096245A"/>
    <w:rsid w:val="009625DA"/>
    <w:rsid w:val="00962E26"/>
    <w:rsid w:val="009631B1"/>
    <w:rsid w:val="00963688"/>
    <w:rsid w:val="00963C62"/>
    <w:rsid w:val="00963D4F"/>
    <w:rsid w:val="0096407D"/>
    <w:rsid w:val="009651CF"/>
    <w:rsid w:val="0096630C"/>
    <w:rsid w:val="00966312"/>
    <w:rsid w:val="00966482"/>
    <w:rsid w:val="00966650"/>
    <w:rsid w:val="00966CF5"/>
    <w:rsid w:val="0096746F"/>
    <w:rsid w:val="009678C4"/>
    <w:rsid w:val="009701B7"/>
    <w:rsid w:val="0097064A"/>
    <w:rsid w:val="00970C3C"/>
    <w:rsid w:val="009717FC"/>
    <w:rsid w:val="00971AA9"/>
    <w:rsid w:val="00971F25"/>
    <w:rsid w:val="0097222A"/>
    <w:rsid w:val="00972CA1"/>
    <w:rsid w:val="00972E6D"/>
    <w:rsid w:val="00973028"/>
    <w:rsid w:val="009733FC"/>
    <w:rsid w:val="00973444"/>
    <w:rsid w:val="00973DFC"/>
    <w:rsid w:val="009740A5"/>
    <w:rsid w:val="00974758"/>
    <w:rsid w:val="00974CFE"/>
    <w:rsid w:val="0097522B"/>
    <w:rsid w:val="009758D1"/>
    <w:rsid w:val="009762A9"/>
    <w:rsid w:val="0097638D"/>
    <w:rsid w:val="009765CE"/>
    <w:rsid w:val="00976DD6"/>
    <w:rsid w:val="00976DE4"/>
    <w:rsid w:val="00977162"/>
    <w:rsid w:val="009773DE"/>
    <w:rsid w:val="00977438"/>
    <w:rsid w:val="009776D1"/>
    <w:rsid w:val="0097773E"/>
    <w:rsid w:val="0098012E"/>
    <w:rsid w:val="009805C6"/>
    <w:rsid w:val="00981433"/>
    <w:rsid w:val="00982479"/>
    <w:rsid w:val="009829A4"/>
    <w:rsid w:val="00982B6E"/>
    <w:rsid w:val="0098352A"/>
    <w:rsid w:val="00983545"/>
    <w:rsid w:val="00984143"/>
    <w:rsid w:val="00984243"/>
    <w:rsid w:val="009843AB"/>
    <w:rsid w:val="0098475D"/>
    <w:rsid w:val="00985428"/>
    <w:rsid w:val="00985821"/>
    <w:rsid w:val="00985BD9"/>
    <w:rsid w:val="00985D0F"/>
    <w:rsid w:val="009862AF"/>
    <w:rsid w:val="009863D9"/>
    <w:rsid w:val="00986921"/>
    <w:rsid w:val="00986A58"/>
    <w:rsid w:val="00986A6B"/>
    <w:rsid w:val="0098727F"/>
    <w:rsid w:val="00987626"/>
    <w:rsid w:val="009876D6"/>
    <w:rsid w:val="00987843"/>
    <w:rsid w:val="009879DC"/>
    <w:rsid w:val="009904F2"/>
    <w:rsid w:val="009907F1"/>
    <w:rsid w:val="00990848"/>
    <w:rsid w:val="00991114"/>
    <w:rsid w:val="0099130F"/>
    <w:rsid w:val="0099177F"/>
    <w:rsid w:val="00991782"/>
    <w:rsid w:val="0099182A"/>
    <w:rsid w:val="009919CB"/>
    <w:rsid w:val="00992C05"/>
    <w:rsid w:val="00992EA5"/>
    <w:rsid w:val="00992F90"/>
    <w:rsid w:val="0099362A"/>
    <w:rsid w:val="00993B1C"/>
    <w:rsid w:val="00993D26"/>
    <w:rsid w:val="00994E0C"/>
    <w:rsid w:val="00994E9D"/>
    <w:rsid w:val="00995AE9"/>
    <w:rsid w:val="00996726"/>
    <w:rsid w:val="009970EC"/>
    <w:rsid w:val="0099739B"/>
    <w:rsid w:val="009A01A1"/>
    <w:rsid w:val="009A0C05"/>
    <w:rsid w:val="009A10D0"/>
    <w:rsid w:val="009A1122"/>
    <w:rsid w:val="009A1DF0"/>
    <w:rsid w:val="009A1E1C"/>
    <w:rsid w:val="009A2328"/>
    <w:rsid w:val="009A2F20"/>
    <w:rsid w:val="009A30EB"/>
    <w:rsid w:val="009A3790"/>
    <w:rsid w:val="009A37CF"/>
    <w:rsid w:val="009A3C99"/>
    <w:rsid w:val="009A4B16"/>
    <w:rsid w:val="009A4BDE"/>
    <w:rsid w:val="009A4D68"/>
    <w:rsid w:val="009A52DC"/>
    <w:rsid w:val="009A53B3"/>
    <w:rsid w:val="009A54D4"/>
    <w:rsid w:val="009A5AAE"/>
    <w:rsid w:val="009A62DB"/>
    <w:rsid w:val="009A65AE"/>
    <w:rsid w:val="009A66A9"/>
    <w:rsid w:val="009A70DE"/>
    <w:rsid w:val="009A7834"/>
    <w:rsid w:val="009A7854"/>
    <w:rsid w:val="009A78FB"/>
    <w:rsid w:val="009B014E"/>
    <w:rsid w:val="009B015B"/>
    <w:rsid w:val="009B0FB0"/>
    <w:rsid w:val="009B1029"/>
    <w:rsid w:val="009B144D"/>
    <w:rsid w:val="009B166A"/>
    <w:rsid w:val="009B1A15"/>
    <w:rsid w:val="009B24D5"/>
    <w:rsid w:val="009B26FB"/>
    <w:rsid w:val="009B2B0D"/>
    <w:rsid w:val="009B2E10"/>
    <w:rsid w:val="009B2F6E"/>
    <w:rsid w:val="009B32AD"/>
    <w:rsid w:val="009B33EC"/>
    <w:rsid w:val="009B3516"/>
    <w:rsid w:val="009B3720"/>
    <w:rsid w:val="009B3A4B"/>
    <w:rsid w:val="009B3B9C"/>
    <w:rsid w:val="009B3E56"/>
    <w:rsid w:val="009B3FD1"/>
    <w:rsid w:val="009B4076"/>
    <w:rsid w:val="009B4312"/>
    <w:rsid w:val="009B484B"/>
    <w:rsid w:val="009B4A5E"/>
    <w:rsid w:val="009B5DC9"/>
    <w:rsid w:val="009B690E"/>
    <w:rsid w:val="009B6E1C"/>
    <w:rsid w:val="009B7452"/>
    <w:rsid w:val="009C029C"/>
    <w:rsid w:val="009C0DDC"/>
    <w:rsid w:val="009C1390"/>
    <w:rsid w:val="009C1968"/>
    <w:rsid w:val="009C19E4"/>
    <w:rsid w:val="009C19F1"/>
    <w:rsid w:val="009C1E25"/>
    <w:rsid w:val="009C1F24"/>
    <w:rsid w:val="009C26AA"/>
    <w:rsid w:val="009C2BA6"/>
    <w:rsid w:val="009C321B"/>
    <w:rsid w:val="009C32D6"/>
    <w:rsid w:val="009C3812"/>
    <w:rsid w:val="009C3B34"/>
    <w:rsid w:val="009C3F36"/>
    <w:rsid w:val="009C3FCE"/>
    <w:rsid w:val="009C415C"/>
    <w:rsid w:val="009C470B"/>
    <w:rsid w:val="009C6402"/>
    <w:rsid w:val="009C6BE0"/>
    <w:rsid w:val="009C6F2D"/>
    <w:rsid w:val="009C7071"/>
    <w:rsid w:val="009C7620"/>
    <w:rsid w:val="009C7B34"/>
    <w:rsid w:val="009C7F9B"/>
    <w:rsid w:val="009C7FD8"/>
    <w:rsid w:val="009D00B1"/>
    <w:rsid w:val="009D00C5"/>
    <w:rsid w:val="009D00F7"/>
    <w:rsid w:val="009D0B58"/>
    <w:rsid w:val="009D1315"/>
    <w:rsid w:val="009D142C"/>
    <w:rsid w:val="009D2069"/>
    <w:rsid w:val="009D2192"/>
    <w:rsid w:val="009D2843"/>
    <w:rsid w:val="009D323A"/>
    <w:rsid w:val="009D3722"/>
    <w:rsid w:val="009D378E"/>
    <w:rsid w:val="009D382C"/>
    <w:rsid w:val="009D43EF"/>
    <w:rsid w:val="009D4E16"/>
    <w:rsid w:val="009D537E"/>
    <w:rsid w:val="009D5782"/>
    <w:rsid w:val="009D5C56"/>
    <w:rsid w:val="009D5FFA"/>
    <w:rsid w:val="009D64EA"/>
    <w:rsid w:val="009D66C7"/>
    <w:rsid w:val="009D67E5"/>
    <w:rsid w:val="009D687C"/>
    <w:rsid w:val="009D6A81"/>
    <w:rsid w:val="009D7214"/>
    <w:rsid w:val="009D7D69"/>
    <w:rsid w:val="009D7F4E"/>
    <w:rsid w:val="009E0453"/>
    <w:rsid w:val="009E04C6"/>
    <w:rsid w:val="009E0EFE"/>
    <w:rsid w:val="009E16AB"/>
    <w:rsid w:val="009E19F7"/>
    <w:rsid w:val="009E1CC4"/>
    <w:rsid w:val="009E1D13"/>
    <w:rsid w:val="009E24C0"/>
    <w:rsid w:val="009E298C"/>
    <w:rsid w:val="009E2E1A"/>
    <w:rsid w:val="009E33C4"/>
    <w:rsid w:val="009E3AF4"/>
    <w:rsid w:val="009E3CFA"/>
    <w:rsid w:val="009E40B9"/>
    <w:rsid w:val="009E535E"/>
    <w:rsid w:val="009E56D7"/>
    <w:rsid w:val="009E57FD"/>
    <w:rsid w:val="009E5D0D"/>
    <w:rsid w:val="009E634A"/>
    <w:rsid w:val="009E6C56"/>
    <w:rsid w:val="009E6D63"/>
    <w:rsid w:val="009E7025"/>
    <w:rsid w:val="009E728C"/>
    <w:rsid w:val="009E7AFF"/>
    <w:rsid w:val="009E7C82"/>
    <w:rsid w:val="009E7EA6"/>
    <w:rsid w:val="009F06C9"/>
    <w:rsid w:val="009F0F2A"/>
    <w:rsid w:val="009F10A1"/>
    <w:rsid w:val="009F18E0"/>
    <w:rsid w:val="009F1A41"/>
    <w:rsid w:val="009F1D0B"/>
    <w:rsid w:val="009F2B33"/>
    <w:rsid w:val="009F2F4E"/>
    <w:rsid w:val="009F3072"/>
    <w:rsid w:val="009F3A31"/>
    <w:rsid w:val="009F3C99"/>
    <w:rsid w:val="009F3D94"/>
    <w:rsid w:val="009F4895"/>
    <w:rsid w:val="009F491C"/>
    <w:rsid w:val="009F4B0B"/>
    <w:rsid w:val="009F57AB"/>
    <w:rsid w:val="009F5FDA"/>
    <w:rsid w:val="009F6B4C"/>
    <w:rsid w:val="009F6FD2"/>
    <w:rsid w:val="009F7EA2"/>
    <w:rsid w:val="00A00546"/>
    <w:rsid w:val="00A006E0"/>
    <w:rsid w:val="00A007C4"/>
    <w:rsid w:val="00A009A9"/>
    <w:rsid w:val="00A00B70"/>
    <w:rsid w:val="00A00F74"/>
    <w:rsid w:val="00A011B4"/>
    <w:rsid w:val="00A012AF"/>
    <w:rsid w:val="00A01E64"/>
    <w:rsid w:val="00A02A8B"/>
    <w:rsid w:val="00A02D93"/>
    <w:rsid w:val="00A03433"/>
    <w:rsid w:val="00A03F47"/>
    <w:rsid w:val="00A0465F"/>
    <w:rsid w:val="00A0488C"/>
    <w:rsid w:val="00A04E82"/>
    <w:rsid w:val="00A0504D"/>
    <w:rsid w:val="00A05433"/>
    <w:rsid w:val="00A05E44"/>
    <w:rsid w:val="00A06282"/>
    <w:rsid w:val="00A062A0"/>
    <w:rsid w:val="00A0704D"/>
    <w:rsid w:val="00A07221"/>
    <w:rsid w:val="00A0780B"/>
    <w:rsid w:val="00A10599"/>
    <w:rsid w:val="00A10F47"/>
    <w:rsid w:val="00A112F1"/>
    <w:rsid w:val="00A11530"/>
    <w:rsid w:val="00A11C9C"/>
    <w:rsid w:val="00A11D14"/>
    <w:rsid w:val="00A1258F"/>
    <w:rsid w:val="00A12D58"/>
    <w:rsid w:val="00A12E26"/>
    <w:rsid w:val="00A13174"/>
    <w:rsid w:val="00A138DC"/>
    <w:rsid w:val="00A13C92"/>
    <w:rsid w:val="00A13EEC"/>
    <w:rsid w:val="00A13F3B"/>
    <w:rsid w:val="00A13F97"/>
    <w:rsid w:val="00A1405A"/>
    <w:rsid w:val="00A14214"/>
    <w:rsid w:val="00A1435A"/>
    <w:rsid w:val="00A14379"/>
    <w:rsid w:val="00A1438A"/>
    <w:rsid w:val="00A149CA"/>
    <w:rsid w:val="00A14C81"/>
    <w:rsid w:val="00A14F0D"/>
    <w:rsid w:val="00A15CB0"/>
    <w:rsid w:val="00A16D32"/>
    <w:rsid w:val="00A16E7A"/>
    <w:rsid w:val="00A171C4"/>
    <w:rsid w:val="00A173F8"/>
    <w:rsid w:val="00A17634"/>
    <w:rsid w:val="00A17CBE"/>
    <w:rsid w:val="00A20152"/>
    <w:rsid w:val="00A20F41"/>
    <w:rsid w:val="00A21DD2"/>
    <w:rsid w:val="00A21FA8"/>
    <w:rsid w:val="00A22162"/>
    <w:rsid w:val="00A22418"/>
    <w:rsid w:val="00A22886"/>
    <w:rsid w:val="00A231C2"/>
    <w:rsid w:val="00A23307"/>
    <w:rsid w:val="00A23E34"/>
    <w:rsid w:val="00A24204"/>
    <w:rsid w:val="00A24354"/>
    <w:rsid w:val="00A2440A"/>
    <w:rsid w:val="00A245F5"/>
    <w:rsid w:val="00A24B5C"/>
    <w:rsid w:val="00A24C51"/>
    <w:rsid w:val="00A251E2"/>
    <w:rsid w:val="00A25B82"/>
    <w:rsid w:val="00A25C1E"/>
    <w:rsid w:val="00A25DFB"/>
    <w:rsid w:val="00A26063"/>
    <w:rsid w:val="00A2608C"/>
    <w:rsid w:val="00A2647D"/>
    <w:rsid w:val="00A26ADF"/>
    <w:rsid w:val="00A270BD"/>
    <w:rsid w:val="00A279D1"/>
    <w:rsid w:val="00A279EC"/>
    <w:rsid w:val="00A3027A"/>
    <w:rsid w:val="00A304F1"/>
    <w:rsid w:val="00A30F4C"/>
    <w:rsid w:val="00A31A23"/>
    <w:rsid w:val="00A31A8E"/>
    <w:rsid w:val="00A31B7D"/>
    <w:rsid w:val="00A31D9F"/>
    <w:rsid w:val="00A31FFB"/>
    <w:rsid w:val="00A32977"/>
    <w:rsid w:val="00A32C00"/>
    <w:rsid w:val="00A32CBA"/>
    <w:rsid w:val="00A32E70"/>
    <w:rsid w:val="00A337BE"/>
    <w:rsid w:val="00A33E94"/>
    <w:rsid w:val="00A33EAE"/>
    <w:rsid w:val="00A34831"/>
    <w:rsid w:val="00A35380"/>
    <w:rsid w:val="00A35644"/>
    <w:rsid w:val="00A35B44"/>
    <w:rsid w:val="00A361BD"/>
    <w:rsid w:val="00A36832"/>
    <w:rsid w:val="00A36938"/>
    <w:rsid w:val="00A3699B"/>
    <w:rsid w:val="00A36E31"/>
    <w:rsid w:val="00A36F7E"/>
    <w:rsid w:val="00A36FAF"/>
    <w:rsid w:val="00A370B9"/>
    <w:rsid w:val="00A3722E"/>
    <w:rsid w:val="00A37897"/>
    <w:rsid w:val="00A4046C"/>
    <w:rsid w:val="00A404AA"/>
    <w:rsid w:val="00A4083E"/>
    <w:rsid w:val="00A40ADB"/>
    <w:rsid w:val="00A417A6"/>
    <w:rsid w:val="00A41C63"/>
    <w:rsid w:val="00A41D40"/>
    <w:rsid w:val="00A420BA"/>
    <w:rsid w:val="00A420F9"/>
    <w:rsid w:val="00A42214"/>
    <w:rsid w:val="00A42EB4"/>
    <w:rsid w:val="00A43362"/>
    <w:rsid w:val="00A43454"/>
    <w:rsid w:val="00A43650"/>
    <w:rsid w:val="00A44393"/>
    <w:rsid w:val="00A4454F"/>
    <w:rsid w:val="00A45739"/>
    <w:rsid w:val="00A45907"/>
    <w:rsid w:val="00A45FC4"/>
    <w:rsid w:val="00A46106"/>
    <w:rsid w:val="00A4686B"/>
    <w:rsid w:val="00A46D0C"/>
    <w:rsid w:val="00A47795"/>
    <w:rsid w:val="00A47D1A"/>
    <w:rsid w:val="00A47D5E"/>
    <w:rsid w:val="00A50328"/>
    <w:rsid w:val="00A50621"/>
    <w:rsid w:val="00A50D76"/>
    <w:rsid w:val="00A51513"/>
    <w:rsid w:val="00A519CD"/>
    <w:rsid w:val="00A52ED9"/>
    <w:rsid w:val="00A52F78"/>
    <w:rsid w:val="00A53339"/>
    <w:rsid w:val="00A53C18"/>
    <w:rsid w:val="00A5401C"/>
    <w:rsid w:val="00A54AFE"/>
    <w:rsid w:val="00A54B85"/>
    <w:rsid w:val="00A555E6"/>
    <w:rsid w:val="00A55977"/>
    <w:rsid w:val="00A55DB6"/>
    <w:rsid w:val="00A564FC"/>
    <w:rsid w:val="00A56DBB"/>
    <w:rsid w:val="00A56FA9"/>
    <w:rsid w:val="00A57DBD"/>
    <w:rsid w:val="00A57E39"/>
    <w:rsid w:val="00A6079C"/>
    <w:rsid w:val="00A60B3E"/>
    <w:rsid w:val="00A60B88"/>
    <w:rsid w:val="00A60BC9"/>
    <w:rsid w:val="00A60CEF"/>
    <w:rsid w:val="00A61671"/>
    <w:rsid w:val="00A618C7"/>
    <w:rsid w:val="00A619C9"/>
    <w:rsid w:val="00A61AEC"/>
    <w:rsid w:val="00A61F31"/>
    <w:rsid w:val="00A62E55"/>
    <w:rsid w:val="00A63C13"/>
    <w:rsid w:val="00A6405C"/>
    <w:rsid w:val="00A64A30"/>
    <w:rsid w:val="00A64FC5"/>
    <w:rsid w:val="00A6515D"/>
    <w:rsid w:val="00A6653B"/>
    <w:rsid w:val="00A6685C"/>
    <w:rsid w:val="00A66914"/>
    <w:rsid w:val="00A66977"/>
    <w:rsid w:val="00A66ADF"/>
    <w:rsid w:val="00A6765F"/>
    <w:rsid w:val="00A70776"/>
    <w:rsid w:val="00A70918"/>
    <w:rsid w:val="00A70984"/>
    <w:rsid w:val="00A70B30"/>
    <w:rsid w:val="00A71AF4"/>
    <w:rsid w:val="00A72EDC"/>
    <w:rsid w:val="00A73216"/>
    <w:rsid w:val="00A735D7"/>
    <w:rsid w:val="00A739E6"/>
    <w:rsid w:val="00A73BDE"/>
    <w:rsid w:val="00A73CB9"/>
    <w:rsid w:val="00A73FC5"/>
    <w:rsid w:val="00A74399"/>
    <w:rsid w:val="00A74B7A"/>
    <w:rsid w:val="00A74E0F"/>
    <w:rsid w:val="00A75B77"/>
    <w:rsid w:val="00A76892"/>
    <w:rsid w:val="00A76965"/>
    <w:rsid w:val="00A76A44"/>
    <w:rsid w:val="00A76C3C"/>
    <w:rsid w:val="00A771DC"/>
    <w:rsid w:val="00A77295"/>
    <w:rsid w:val="00A77961"/>
    <w:rsid w:val="00A802E6"/>
    <w:rsid w:val="00A804E6"/>
    <w:rsid w:val="00A804F8"/>
    <w:rsid w:val="00A80527"/>
    <w:rsid w:val="00A80B21"/>
    <w:rsid w:val="00A814E7"/>
    <w:rsid w:val="00A817C9"/>
    <w:rsid w:val="00A817FD"/>
    <w:rsid w:val="00A82004"/>
    <w:rsid w:val="00A82657"/>
    <w:rsid w:val="00A82955"/>
    <w:rsid w:val="00A82D45"/>
    <w:rsid w:val="00A82F61"/>
    <w:rsid w:val="00A83CC5"/>
    <w:rsid w:val="00A83E6F"/>
    <w:rsid w:val="00A8463C"/>
    <w:rsid w:val="00A8493A"/>
    <w:rsid w:val="00A84C04"/>
    <w:rsid w:val="00A84C6D"/>
    <w:rsid w:val="00A84FD0"/>
    <w:rsid w:val="00A84FF1"/>
    <w:rsid w:val="00A85158"/>
    <w:rsid w:val="00A852EB"/>
    <w:rsid w:val="00A85426"/>
    <w:rsid w:val="00A85576"/>
    <w:rsid w:val="00A858A1"/>
    <w:rsid w:val="00A85B9E"/>
    <w:rsid w:val="00A86203"/>
    <w:rsid w:val="00A863E2"/>
    <w:rsid w:val="00A86558"/>
    <w:rsid w:val="00A86941"/>
    <w:rsid w:val="00A86B53"/>
    <w:rsid w:val="00A86C2D"/>
    <w:rsid w:val="00A86D04"/>
    <w:rsid w:val="00A86DDA"/>
    <w:rsid w:val="00A8746E"/>
    <w:rsid w:val="00A87D7E"/>
    <w:rsid w:val="00A9009B"/>
    <w:rsid w:val="00A904F1"/>
    <w:rsid w:val="00A90BE1"/>
    <w:rsid w:val="00A9110D"/>
    <w:rsid w:val="00A91A2D"/>
    <w:rsid w:val="00A920B2"/>
    <w:rsid w:val="00A9242E"/>
    <w:rsid w:val="00A9298B"/>
    <w:rsid w:val="00A93561"/>
    <w:rsid w:val="00A94017"/>
    <w:rsid w:val="00A94FC8"/>
    <w:rsid w:val="00A95A14"/>
    <w:rsid w:val="00A95A5B"/>
    <w:rsid w:val="00A9615B"/>
    <w:rsid w:val="00A96189"/>
    <w:rsid w:val="00A966C0"/>
    <w:rsid w:val="00A96C0E"/>
    <w:rsid w:val="00A97DB8"/>
    <w:rsid w:val="00AA0CD9"/>
    <w:rsid w:val="00AA0F5D"/>
    <w:rsid w:val="00AA1327"/>
    <w:rsid w:val="00AA14D6"/>
    <w:rsid w:val="00AA155C"/>
    <w:rsid w:val="00AA1A8B"/>
    <w:rsid w:val="00AA1BB4"/>
    <w:rsid w:val="00AA2491"/>
    <w:rsid w:val="00AA2617"/>
    <w:rsid w:val="00AA2F9F"/>
    <w:rsid w:val="00AA30B6"/>
    <w:rsid w:val="00AA341A"/>
    <w:rsid w:val="00AA372C"/>
    <w:rsid w:val="00AA4468"/>
    <w:rsid w:val="00AA49DB"/>
    <w:rsid w:val="00AA4BFD"/>
    <w:rsid w:val="00AA559E"/>
    <w:rsid w:val="00AA5CAB"/>
    <w:rsid w:val="00AA5D36"/>
    <w:rsid w:val="00AA641A"/>
    <w:rsid w:val="00AA7249"/>
    <w:rsid w:val="00AA74B0"/>
    <w:rsid w:val="00AA7C4E"/>
    <w:rsid w:val="00AA7CCD"/>
    <w:rsid w:val="00AB028E"/>
    <w:rsid w:val="00AB055F"/>
    <w:rsid w:val="00AB062C"/>
    <w:rsid w:val="00AB06B2"/>
    <w:rsid w:val="00AB13F5"/>
    <w:rsid w:val="00AB16D8"/>
    <w:rsid w:val="00AB1F37"/>
    <w:rsid w:val="00AB2388"/>
    <w:rsid w:val="00AB29A7"/>
    <w:rsid w:val="00AB2B6A"/>
    <w:rsid w:val="00AB2F76"/>
    <w:rsid w:val="00AB38CA"/>
    <w:rsid w:val="00AB3B2A"/>
    <w:rsid w:val="00AB3F87"/>
    <w:rsid w:val="00AB46BC"/>
    <w:rsid w:val="00AB491F"/>
    <w:rsid w:val="00AB4CD1"/>
    <w:rsid w:val="00AB5196"/>
    <w:rsid w:val="00AB5430"/>
    <w:rsid w:val="00AB543E"/>
    <w:rsid w:val="00AB58A7"/>
    <w:rsid w:val="00AB5C0F"/>
    <w:rsid w:val="00AB5F35"/>
    <w:rsid w:val="00AB5F86"/>
    <w:rsid w:val="00AB6F0F"/>
    <w:rsid w:val="00AB725B"/>
    <w:rsid w:val="00AB799B"/>
    <w:rsid w:val="00AB7E41"/>
    <w:rsid w:val="00AC0492"/>
    <w:rsid w:val="00AC0610"/>
    <w:rsid w:val="00AC099F"/>
    <w:rsid w:val="00AC17A3"/>
    <w:rsid w:val="00AC17C0"/>
    <w:rsid w:val="00AC2C4F"/>
    <w:rsid w:val="00AC35ED"/>
    <w:rsid w:val="00AC3983"/>
    <w:rsid w:val="00AC4494"/>
    <w:rsid w:val="00AC4DF0"/>
    <w:rsid w:val="00AC5FAA"/>
    <w:rsid w:val="00AC6355"/>
    <w:rsid w:val="00AC67BE"/>
    <w:rsid w:val="00AC6ADC"/>
    <w:rsid w:val="00AC6FBE"/>
    <w:rsid w:val="00AC7084"/>
    <w:rsid w:val="00AC7841"/>
    <w:rsid w:val="00AC78F8"/>
    <w:rsid w:val="00AD0D35"/>
    <w:rsid w:val="00AD139C"/>
    <w:rsid w:val="00AD15B3"/>
    <w:rsid w:val="00AD18F3"/>
    <w:rsid w:val="00AD1C1B"/>
    <w:rsid w:val="00AD2A89"/>
    <w:rsid w:val="00AD2BE3"/>
    <w:rsid w:val="00AD35A8"/>
    <w:rsid w:val="00AD3840"/>
    <w:rsid w:val="00AD3879"/>
    <w:rsid w:val="00AD40D7"/>
    <w:rsid w:val="00AD509F"/>
    <w:rsid w:val="00AD56B8"/>
    <w:rsid w:val="00AD6A7D"/>
    <w:rsid w:val="00AD7511"/>
    <w:rsid w:val="00AD7B90"/>
    <w:rsid w:val="00AE03FE"/>
    <w:rsid w:val="00AE0639"/>
    <w:rsid w:val="00AE0BFB"/>
    <w:rsid w:val="00AE0C64"/>
    <w:rsid w:val="00AE16C8"/>
    <w:rsid w:val="00AE1CAE"/>
    <w:rsid w:val="00AE1E1D"/>
    <w:rsid w:val="00AE1F90"/>
    <w:rsid w:val="00AE2BBE"/>
    <w:rsid w:val="00AE3DA7"/>
    <w:rsid w:val="00AE47E7"/>
    <w:rsid w:val="00AE47FD"/>
    <w:rsid w:val="00AE4875"/>
    <w:rsid w:val="00AE4DF8"/>
    <w:rsid w:val="00AE503F"/>
    <w:rsid w:val="00AE5269"/>
    <w:rsid w:val="00AE5554"/>
    <w:rsid w:val="00AE5635"/>
    <w:rsid w:val="00AE5906"/>
    <w:rsid w:val="00AE594C"/>
    <w:rsid w:val="00AE5F28"/>
    <w:rsid w:val="00AE66D7"/>
    <w:rsid w:val="00AE6830"/>
    <w:rsid w:val="00AE7153"/>
    <w:rsid w:val="00AF0314"/>
    <w:rsid w:val="00AF077A"/>
    <w:rsid w:val="00AF087D"/>
    <w:rsid w:val="00AF0AFA"/>
    <w:rsid w:val="00AF0E2E"/>
    <w:rsid w:val="00AF115F"/>
    <w:rsid w:val="00AF12CC"/>
    <w:rsid w:val="00AF1462"/>
    <w:rsid w:val="00AF1DF6"/>
    <w:rsid w:val="00AF1FE6"/>
    <w:rsid w:val="00AF247F"/>
    <w:rsid w:val="00AF27DA"/>
    <w:rsid w:val="00AF2849"/>
    <w:rsid w:val="00AF3348"/>
    <w:rsid w:val="00AF342B"/>
    <w:rsid w:val="00AF3443"/>
    <w:rsid w:val="00AF3D6E"/>
    <w:rsid w:val="00AF40EA"/>
    <w:rsid w:val="00AF426C"/>
    <w:rsid w:val="00AF4868"/>
    <w:rsid w:val="00AF558B"/>
    <w:rsid w:val="00AF559B"/>
    <w:rsid w:val="00AF5891"/>
    <w:rsid w:val="00AF5895"/>
    <w:rsid w:val="00AF5909"/>
    <w:rsid w:val="00AF5CB8"/>
    <w:rsid w:val="00AF5D82"/>
    <w:rsid w:val="00AF6231"/>
    <w:rsid w:val="00AF6429"/>
    <w:rsid w:val="00AF65AE"/>
    <w:rsid w:val="00AF695A"/>
    <w:rsid w:val="00AF77F8"/>
    <w:rsid w:val="00AF79F8"/>
    <w:rsid w:val="00AF7BE5"/>
    <w:rsid w:val="00B00358"/>
    <w:rsid w:val="00B013BA"/>
    <w:rsid w:val="00B017F5"/>
    <w:rsid w:val="00B0234C"/>
    <w:rsid w:val="00B0331D"/>
    <w:rsid w:val="00B0338D"/>
    <w:rsid w:val="00B0350F"/>
    <w:rsid w:val="00B035A8"/>
    <w:rsid w:val="00B037FE"/>
    <w:rsid w:val="00B038B0"/>
    <w:rsid w:val="00B03900"/>
    <w:rsid w:val="00B045FE"/>
    <w:rsid w:val="00B04DD4"/>
    <w:rsid w:val="00B051F9"/>
    <w:rsid w:val="00B05792"/>
    <w:rsid w:val="00B061A9"/>
    <w:rsid w:val="00B06C8D"/>
    <w:rsid w:val="00B076F3"/>
    <w:rsid w:val="00B07951"/>
    <w:rsid w:val="00B07A1F"/>
    <w:rsid w:val="00B07B18"/>
    <w:rsid w:val="00B1097B"/>
    <w:rsid w:val="00B10B1D"/>
    <w:rsid w:val="00B10F81"/>
    <w:rsid w:val="00B11C79"/>
    <w:rsid w:val="00B11CC2"/>
    <w:rsid w:val="00B12AEB"/>
    <w:rsid w:val="00B12F86"/>
    <w:rsid w:val="00B130C6"/>
    <w:rsid w:val="00B133FC"/>
    <w:rsid w:val="00B13B1C"/>
    <w:rsid w:val="00B14515"/>
    <w:rsid w:val="00B14A7C"/>
    <w:rsid w:val="00B14FD7"/>
    <w:rsid w:val="00B153F4"/>
    <w:rsid w:val="00B15DE0"/>
    <w:rsid w:val="00B15FC8"/>
    <w:rsid w:val="00B16AF9"/>
    <w:rsid w:val="00B16CE0"/>
    <w:rsid w:val="00B16F10"/>
    <w:rsid w:val="00B17598"/>
    <w:rsid w:val="00B17683"/>
    <w:rsid w:val="00B177D7"/>
    <w:rsid w:val="00B2180F"/>
    <w:rsid w:val="00B21DA6"/>
    <w:rsid w:val="00B223BB"/>
    <w:rsid w:val="00B229BC"/>
    <w:rsid w:val="00B22ED2"/>
    <w:rsid w:val="00B231C4"/>
    <w:rsid w:val="00B23EDF"/>
    <w:rsid w:val="00B24335"/>
    <w:rsid w:val="00B2450C"/>
    <w:rsid w:val="00B24D67"/>
    <w:rsid w:val="00B25463"/>
    <w:rsid w:val="00B254C4"/>
    <w:rsid w:val="00B25918"/>
    <w:rsid w:val="00B25BEB"/>
    <w:rsid w:val="00B26024"/>
    <w:rsid w:val="00B26EC4"/>
    <w:rsid w:val="00B2705C"/>
    <w:rsid w:val="00B27962"/>
    <w:rsid w:val="00B303C8"/>
    <w:rsid w:val="00B303FC"/>
    <w:rsid w:val="00B3147B"/>
    <w:rsid w:val="00B32EAA"/>
    <w:rsid w:val="00B33DDD"/>
    <w:rsid w:val="00B33E02"/>
    <w:rsid w:val="00B3527C"/>
    <w:rsid w:val="00B35A30"/>
    <w:rsid w:val="00B35CD3"/>
    <w:rsid w:val="00B35DCC"/>
    <w:rsid w:val="00B35DE5"/>
    <w:rsid w:val="00B35E18"/>
    <w:rsid w:val="00B35E74"/>
    <w:rsid w:val="00B367F3"/>
    <w:rsid w:val="00B36B6F"/>
    <w:rsid w:val="00B37432"/>
    <w:rsid w:val="00B378D2"/>
    <w:rsid w:val="00B40571"/>
    <w:rsid w:val="00B40891"/>
    <w:rsid w:val="00B40F4B"/>
    <w:rsid w:val="00B4112C"/>
    <w:rsid w:val="00B41522"/>
    <w:rsid w:val="00B41700"/>
    <w:rsid w:val="00B41CAE"/>
    <w:rsid w:val="00B41D93"/>
    <w:rsid w:val="00B4273A"/>
    <w:rsid w:val="00B43299"/>
    <w:rsid w:val="00B4330E"/>
    <w:rsid w:val="00B43B10"/>
    <w:rsid w:val="00B44D14"/>
    <w:rsid w:val="00B44E28"/>
    <w:rsid w:val="00B44FF1"/>
    <w:rsid w:val="00B45090"/>
    <w:rsid w:val="00B453D7"/>
    <w:rsid w:val="00B45953"/>
    <w:rsid w:val="00B46160"/>
    <w:rsid w:val="00B47E1D"/>
    <w:rsid w:val="00B50176"/>
    <w:rsid w:val="00B50413"/>
    <w:rsid w:val="00B50A43"/>
    <w:rsid w:val="00B50E35"/>
    <w:rsid w:val="00B51460"/>
    <w:rsid w:val="00B51C87"/>
    <w:rsid w:val="00B5233E"/>
    <w:rsid w:val="00B523D7"/>
    <w:rsid w:val="00B52A8F"/>
    <w:rsid w:val="00B531CA"/>
    <w:rsid w:val="00B5325C"/>
    <w:rsid w:val="00B5391A"/>
    <w:rsid w:val="00B542FE"/>
    <w:rsid w:val="00B54367"/>
    <w:rsid w:val="00B5437A"/>
    <w:rsid w:val="00B5485D"/>
    <w:rsid w:val="00B548F4"/>
    <w:rsid w:val="00B54D1D"/>
    <w:rsid w:val="00B54FE4"/>
    <w:rsid w:val="00B5521F"/>
    <w:rsid w:val="00B552CE"/>
    <w:rsid w:val="00B55464"/>
    <w:rsid w:val="00B55594"/>
    <w:rsid w:val="00B556FB"/>
    <w:rsid w:val="00B55D76"/>
    <w:rsid w:val="00B55F3E"/>
    <w:rsid w:val="00B56267"/>
    <w:rsid w:val="00B56A78"/>
    <w:rsid w:val="00B572E8"/>
    <w:rsid w:val="00B57483"/>
    <w:rsid w:val="00B576C6"/>
    <w:rsid w:val="00B579A6"/>
    <w:rsid w:val="00B60240"/>
    <w:rsid w:val="00B60410"/>
    <w:rsid w:val="00B60ABC"/>
    <w:rsid w:val="00B60DE6"/>
    <w:rsid w:val="00B61323"/>
    <w:rsid w:val="00B615D5"/>
    <w:rsid w:val="00B6185F"/>
    <w:rsid w:val="00B619F8"/>
    <w:rsid w:val="00B62136"/>
    <w:rsid w:val="00B62C1C"/>
    <w:rsid w:val="00B62DA0"/>
    <w:rsid w:val="00B63BB8"/>
    <w:rsid w:val="00B63EA6"/>
    <w:rsid w:val="00B64229"/>
    <w:rsid w:val="00B6452E"/>
    <w:rsid w:val="00B64672"/>
    <w:rsid w:val="00B6472A"/>
    <w:rsid w:val="00B653B0"/>
    <w:rsid w:val="00B654C2"/>
    <w:rsid w:val="00B65CAD"/>
    <w:rsid w:val="00B65D5D"/>
    <w:rsid w:val="00B6641C"/>
    <w:rsid w:val="00B66A0D"/>
    <w:rsid w:val="00B67478"/>
    <w:rsid w:val="00B67890"/>
    <w:rsid w:val="00B678AC"/>
    <w:rsid w:val="00B67B81"/>
    <w:rsid w:val="00B701DC"/>
    <w:rsid w:val="00B70544"/>
    <w:rsid w:val="00B70B1F"/>
    <w:rsid w:val="00B718D1"/>
    <w:rsid w:val="00B71DBD"/>
    <w:rsid w:val="00B722A1"/>
    <w:rsid w:val="00B72535"/>
    <w:rsid w:val="00B72750"/>
    <w:rsid w:val="00B727A3"/>
    <w:rsid w:val="00B72C4B"/>
    <w:rsid w:val="00B7317A"/>
    <w:rsid w:val="00B7550F"/>
    <w:rsid w:val="00B758D2"/>
    <w:rsid w:val="00B75ACF"/>
    <w:rsid w:val="00B7697D"/>
    <w:rsid w:val="00B77932"/>
    <w:rsid w:val="00B803DB"/>
    <w:rsid w:val="00B80617"/>
    <w:rsid w:val="00B80656"/>
    <w:rsid w:val="00B81CE1"/>
    <w:rsid w:val="00B822F5"/>
    <w:rsid w:val="00B827A7"/>
    <w:rsid w:val="00B83764"/>
    <w:rsid w:val="00B83782"/>
    <w:rsid w:val="00B83964"/>
    <w:rsid w:val="00B83A84"/>
    <w:rsid w:val="00B83DD1"/>
    <w:rsid w:val="00B83F04"/>
    <w:rsid w:val="00B84575"/>
    <w:rsid w:val="00B84F51"/>
    <w:rsid w:val="00B851DC"/>
    <w:rsid w:val="00B85A1D"/>
    <w:rsid w:val="00B8651F"/>
    <w:rsid w:val="00B865E2"/>
    <w:rsid w:val="00B86A33"/>
    <w:rsid w:val="00B86C39"/>
    <w:rsid w:val="00B86E84"/>
    <w:rsid w:val="00B86FC3"/>
    <w:rsid w:val="00B870E8"/>
    <w:rsid w:val="00B87BA4"/>
    <w:rsid w:val="00B87CBA"/>
    <w:rsid w:val="00B87DAA"/>
    <w:rsid w:val="00B87F60"/>
    <w:rsid w:val="00B90324"/>
    <w:rsid w:val="00B90E39"/>
    <w:rsid w:val="00B917C1"/>
    <w:rsid w:val="00B9195F"/>
    <w:rsid w:val="00B91BF4"/>
    <w:rsid w:val="00B923E9"/>
    <w:rsid w:val="00B924EA"/>
    <w:rsid w:val="00B9318F"/>
    <w:rsid w:val="00B93619"/>
    <w:rsid w:val="00B9480B"/>
    <w:rsid w:val="00B94AFE"/>
    <w:rsid w:val="00B94BC8"/>
    <w:rsid w:val="00B94BE0"/>
    <w:rsid w:val="00B94D3A"/>
    <w:rsid w:val="00B9582A"/>
    <w:rsid w:val="00B95B8C"/>
    <w:rsid w:val="00B95C32"/>
    <w:rsid w:val="00B95D49"/>
    <w:rsid w:val="00B963EB"/>
    <w:rsid w:val="00B97418"/>
    <w:rsid w:val="00B97A92"/>
    <w:rsid w:val="00B97C1F"/>
    <w:rsid w:val="00BA04AA"/>
    <w:rsid w:val="00BA0BAD"/>
    <w:rsid w:val="00BA0E9C"/>
    <w:rsid w:val="00BA1711"/>
    <w:rsid w:val="00BA1765"/>
    <w:rsid w:val="00BA17FE"/>
    <w:rsid w:val="00BA1DD3"/>
    <w:rsid w:val="00BA21B0"/>
    <w:rsid w:val="00BA2679"/>
    <w:rsid w:val="00BA2FF7"/>
    <w:rsid w:val="00BA31F1"/>
    <w:rsid w:val="00BA32E3"/>
    <w:rsid w:val="00BA34D4"/>
    <w:rsid w:val="00BA3700"/>
    <w:rsid w:val="00BA500C"/>
    <w:rsid w:val="00BA54B7"/>
    <w:rsid w:val="00BA5DFB"/>
    <w:rsid w:val="00BA6418"/>
    <w:rsid w:val="00BA6E28"/>
    <w:rsid w:val="00BA711F"/>
    <w:rsid w:val="00BA7199"/>
    <w:rsid w:val="00BA719B"/>
    <w:rsid w:val="00BA7954"/>
    <w:rsid w:val="00BA7A10"/>
    <w:rsid w:val="00BA7E0C"/>
    <w:rsid w:val="00BB0D0A"/>
    <w:rsid w:val="00BB11F9"/>
    <w:rsid w:val="00BB1DFF"/>
    <w:rsid w:val="00BB21D0"/>
    <w:rsid w:val="00BB253F"/>
    <w:rsid w:val="00BB2C97"/>
    <w:rsid w:val="00BB2D25"/>
    <w:rsid w:val="00BB2E97"/>
    <w:rsid w:val="00BB34EC"/>
    <w:rsid w:val="00BB3711"/>
    <w:rsid w:val="00BB3933"/>
    <w:rsid w:val="00BB398D"/>
    <w:rsid w:val="00BB4D9D"/>
    <w:rsid w:val="00BB5002"/>
    <w:rsid w:val="00BB53B9"/>
    <w:rsid w:val="00BB548F"/>
    <w:rsid w:val="00BB5614"/>
    <w:rsid w:val="00BB5639"/>
    <w:rsid w:val="00BB5902"/>
    <w:rsid w:val="00BB639F"/>
    <w:rsid w:val="00BB6B51"/>
    <w:rsid w:val="00BB6E31"/>
    <w:rsid w:val="00BB7A08"/>
    <w:rsid w:val="00BC0B05"/>
    <w:rsid w:val="00BC0BA1"/>
    <w:rsid w:val="00BC0D27"/>
    <w:rsid w:val="00BC0F44"/>
    <w:rsid w:val="00BC10BC"/>
    <w:rsid w:val="00BC1835"/>
    <w:rsid w:val="00BC24E2"/>
    <w:rsid w:val="00BC29CE"/>
    <w:rsid w:val="00BC2FD6"/>
    <w:rsid w:val="00BC310B"/>
    <w:rsid w:val="00BC38DC"/>
    <w:rsid w:val="00BC3B6B"/>
    <w:rsid w:val="00BC4281"/>
    <w:rsid w:val="00BC457E"/>
    <w:rsid w:val="00BC5A2D"/>
    <w:rsid w:val="00BC60C9"/>
    <w:rsid w:val="00BC60EB"/>
    <w:rsid w:val="00BC6E77"/>
    <w:rsid w:val="00BC6F30"/>
    <w:rsid w:val="00BC7568"/>
    <w:rsid w:val="00BC763D"/>
    <w:rsid w:val="00BC7846"/>
    <w:rsid w:val="00BC7E7C"/>
    <w:rsid w:val="00BD003B"/>
    <w:rsid w:val="00BD01DF"/>
    <w:rsid w:val="00BD0223"/>
    <w:rsid w:val="00BD055A"/>
    <w:rsid w:val="00BD086B"/>
    <w:rsid w:val="00BD0885"/>
    <w:rsid w:val="00BD0C27"/>
    <w:rsid w:val="00BD0CD7"/>
    <w:rsid w:val="00BD0D60"/>
    <w:rsid w:val="00BD0E38"/>
    <w:rsid w:val="00BD13F2"/>
    <w:rsid w:val="00BD2164"/>
    <w:rsid w:val="00BD2F6F"/>
    <w:rsid w:val="00BD3170"/>
    <w:rsid w:val="00BD3A40"/>
    <w:rsid w:val="00BD419D"/>
    <w:rsid w:val="00BD5033"/>
    <w:rsid w:val="00BD53A7"/>
    <w:rsid w:val="00BD5756"/>
    <w:rsid w:val="00BD57A5"/>
    <w:rsid w:val="00BD5C01"/>
    <w:rsid w:val="00BD693B"/>
    <w:rsid w:val="00BD6A23"/>
    <w:rsid w:val="00BD702F"/>
    <w:rsid w:val="00BD786C"/>
    <w:rsid w:val="00BD7D46"/>
    <w:rsid w:val="00BD7FC9"/>
    <w:rsid w:val="00BE06C9"/>
    <w:rsid w:val="00BE0EC2"/>
    <w:rsid w:val="00BE1176"/>
    <w:rsid w:val="00BE13BF"/>
    <w:rsid w:val="00BE1849"/>
    <w:rsid w:val="00BE1CB1"/>
    <w:rsid w:val="00BE1EA9"/>
    <w:rsid w:val="00BE237B"/>
    <w:rsid w:val="00BE2A43"/>
    <w:rsid w:val="00BE2C32"/>
    <w:rsid w:val="00BE4914"/>
    <w:rsid w:val="00BE4928"/>
    <w:rsid w:val="00BE4B43"/>
    <w:rsid w:val="00BE59F2"/>
    <w:rsid w:val="00BE5D52"/>
    <w:rsid w:val="00BE6106"/>
    <w:rsid w:val="00BE642D"/>
    <w:rsid w:val="00BE669E"/>
    <w:rsid w:val="00BE6CD9"/>
    <w:rsid w:val="00BE75D5"/>
    <w:rsid w:val="00BF06F4"/>
    <w:rsid w:val="00BF0C2D"/>
    <w:rsid w:val="00BF1429"/>
    <w:rsid w:val="00BF1616"/>
    <w:rsid w:val="00BF199A"/>
    <w:rsid w:val="00BF237C"/>
    <w:rsid w:val="00BF24F5"/>
    <w:rsid w:val="00BF2E5A"/>
    <w:rsid w:val="00BF3799"/>
    <w:rsid w:val="00BF3E51"/>
    <w:rsid w:val="00BF3E89"/>
    <w:rsid w:val="00BF4006"/>
    <w:rsid w:val="00BF4206"/>
    <w:rsid w:val="00BF46D2"/>
    <w:rsid w:val="00BF48A6"/>
    <w:rsid w:val="00BF4975"/>
    <w:rsid w:val="00BF4E65"/>
    <w:rsid w:val="00BF500D"/>
    <w:rsid w:val="00BF5184"/>
    <w:rsid w:val="00BF5608"/>
    <w:rsid w:val="00BF575A"/>
    <w:rsid w:val="00BF5B26"/>
    <w:rsid w:val="00BF66C1"/>
    <w:rsid w:val="00BF68CC"/>
    <w:rsid w:val="00BF6CAE"/>
    <w:rsid w:val="00BF6D3D"/>
    <w:rsid w:val="00BF704A"/>
    <w:rsid w:val="00BF729B"/>
    <w:rsid w:val="00BF7739"/>
    <w:rsid w:val="00BF7914"/>
    <w:rsid w:val="00BF7E1C"/>
    <w:rsid w:val="00BF7EE5"/>
    <w:rsid w:val="00C001B3"/>
    <w:rsid w:val="00C00558"/>
    <w:rsid w:val="00C007A9"/>
    <w:rsid w:val="00C0092B"/>
    <w:rsid w:val="00C00B3E"/>
    <w:rsid w:val="00C00CC2"/>
    <w:rsid w:val="00C0152F"/>
    <w:rsid w:val="00C019BE"/>
    <w:rsid w:val="00C02822"/>
    <w:rsid w:val="00C029BE"/>
    <w:rsid w:val="00C02DAA"/>
    <w:rsid w:val="00C03DCB"/>
    <w:rsid w:val="00C0453D"/>
    <w:rsid w:val="00C048C0"/>
    <w:rsid w:val="00C04A35"/>
    <w:rsid w:val="00C05131"/>
    <w:rsid w:val="00C055F0"/>
    <w:rsid w:val="00C05684"/>
    <w:rsid w:val="00C06278"/>
    <w:rsid w:val="00C066BC"/>
    <w:rsid w:val="00C067C1"/>
    <w:rsid w:val="00C068B3"/>
    <w:rsid w:val="00C06CB8"/>
    <w:rsid w:val="00C07879"/>
    <w:rsid w:val="00C102B2"/>
    <w:rsid w:val="00C10517"/>
    <w:rsid w:val="00C106A0"/>
    <w:rsid w:val="00C10A4C"/>
    <w:rsid w:val="00C10D11"/>
    <w:rsid w:val="00C1100B"/>
    <w:rsid w:val="00C11C09"/>
    <w:rsid w:val="00C11CC8"/>
    <w:rsid w:val="00C12907"/>
    <w:rsid w:val="00C129A0"/>
    <w:rsid w:val="00C133F9"/>
    <w:rsid w:val="00C1340C"/>
    <w:rsid w:val="00C13C87"/>
    <w:rsid w:val="00C13E4B"/>
    <w:rsid w:val="00C141CB"/>
    <w:rsid w:val="00C1498A"/>
    <w:rsid w:val="00C15214"/>
    <w:rsid w:val="00C15318"/>
    <w:rsid w:val="00C162D4"/>
    <w:rsid w:val="00C16B5D"/>
    <w:rsid w:val="00C1754C"/>
    <w:rsid w:val="00C177BE"/>
    <w:rsid w:val="00C1792F"/>
    <w:rsid w:val="00C179B5"/>
    <w:rsid w:val="00C200B8"/>
    <w:rsid w:val="00C205F5"/>
    <w:rsid w:val="00C2162E"/>
    <w:rsid w:val="00C21B52"/>
    <w:rsid w:val="00C222ED"/>
    <w:rsid w:val="00C227AE"/>
    <w:rsid w:val="00C22AFB"/>
    <w:rsid w:val="00C22C26"/>
    <w:rsid w:val="00C230CE"/>
    <w:rsid w:val="00C23397"/>
    <w:rsid w:val="00C2354D"/>
    <w:rsid w:val="00C240E4"/>
    <w:rsid w:val="00C2414E"/>
    <w:rsid w:val="00C24256"/>
    <w:rsid w:val="00C24441"/>
    <w:rsid w:val="00C2476B"/>
    <w:rsid w:val="00C24956"/>
    <w:rsid w:val="00C24D48"/>
    <w:rsid w:val="00C2579F"/>
    <w:rsid w:val="00C25F16"/>
    <w:rsid w:val="00C26059"/>
    <w:rsid w:val="00C26C4E"/>
    <w:rsid w:val="00C27170"/>
    <w:rsid w:val="00C271A2"/>
    <w:rsid w:val="00C27D05"/>
    <w:rsid w:val="00C27FC4"/>
    <w:rsid w:val="00C301A0"/>
    <w:rsid w:val="00C304AC"/>
    <w:rsid w:val="00C3125E"/>
    <w:rsid w:val="00C31B0A"/>
    <w:rsid w:val="00C32159"/>
    <w:rsid w:val="00C321B2"/>
    <w:rsid w:val="00C32624"/>
    <w:rsid w:val="00C326B9"/>
    <w:rsid w:val="00C32EF5"/>
    <w:rsid w:val="00C3361F"/>
    <w:rsid w:val="00C34179"/>
    <w:rsid w:val="00C341FB"/>
    <w:rsid w:val="00C347A0"/>
    <w:rsid w:val="00C3628C"/>
    <w:rsid w:val="00C3661C"/>
    <w:rsid w:val="00C36787"/>
    <w:rsid w:val="00C369DC"/>
    <w:rsid w:val="00C36B2C"/>
    <w:rsid w:val="00C375BB"/>
    <w:rsid w:val="00C37A0A"/>
    <w:rsid w:val="00C37C02"/>
    <w:rsid w:val="00C37FF6"/>
    <w:rsid w:val="00C4016C"/>
    <w:rsid w:val="00C401FF"/>
    <w:rsid w:val="00C40401"/>
    <w:rsid w:val="00C40CB6"/>
    <w:rsid w:val="00C40E0F"/>
    <w:rsid w:val="00C41417"/>
    <w:rsid w:val="00C41453"/>
    <w:rsid w:val="00C41902"/>
    <w:rsid w:val="00C4216F"/>
    <w:rsid w:val="00C428DF"/>
    <w:rsid w:val="00C42F0F"/>
    <w:rsid w:val="00C4382A"/>
    <w:rsid w:val="00C43DCF"/>
    <w:rsid w:val="00C4540A"/>
    <w:rsid w:val="00C456CE"/>
    <w:rsid w:val="00C45770"/>
    <w:rsid w:val="00C45C10"/>
    <w:rsid w:val="00C45C86"/>
    <w:rsid w:val="00C470ED"/>
    <w:rsid w:val="00C47721"/>
    <w:rsid w:val="00C47B9A"/>
    <w:rsid w:val="00C503A5"/>
    <w:rsid w:val="00C50986"/>
    <w:rsid w:val="00C50C26"/>
    <w:rsid w:val="00C512BA"/>
    <w:rsid w:val="00C516DE"/>
    <w:rsid w:val="00C52A21"/>
    <w:rsid w:val="00C532EA"/>
    <w:rsid w:val="00C534A4"/>
    <w:rsid w:val="00C537D2"/>
    <w:rsid w:val="00C53990"/>
    <w:rsid w:val="00C53A95"/>
    <w:rsid w:val="00C53DE9"/>
    <w:rsid w:val="00C53FCB"/>
    <w:rsid w:val="00C54D51"/>
    <w:rsid w:val="00C54E63"/>
    <w:rsid w:val="00C565C6"/>
    <w:rsid w:val="00C56E05"/>
    <w:rsid w:val="00C57035"/>
    <w:rsid w:val="00C57804"/>
    <w:rsid w:val="00C578F3"/>
    <w:rsid w:val="00C57C5E"/>
    <w:rsid w:val="00C609DD"/>
    <w:rsid w:val="00C60EC2"/>
    <w:rsid w:val="00C61FB0"/>
    <w:rsid w:val="00C6270F"/>
    <w:rsid w:val="00C62A6D"/>
    <w:rsid w:val="00C631EF"/>
    <w:rsid w:val="00C63286"/>
    <w:rsid w:val="00C63298"/>
    <w:rsid w:val="00C637C5"/>
    <w:rsid w:val="00C6383D"/>
    <w:rsid w:val="00C639B8"/>
    <w:rsid w:val="00C639F6"/>
    <w:rsid w:val="00C63EED"/>
    <w:rsid w:val="00C647A3"/>
    <w:rsid w:val="00C650BA"/>
    <w:rsid w:val="00C66029"/>
    <w:rsid w:val="00C6608C"/>
    <w:rsid w:val="00C66AE6"/>
    <w:rsid w:val="00C66BC1"/>
    <w:rsid w:val="00C6733E"/>
    <w:rsid w:val="00C67726"/>
    <w:rsid w:val="00C67A67"/>
    <w:rsid w:val="00C706B7"/>
    <w:rsid w:val="00C70ACA"/>
    <w:rsid w:val="00C70EFD"/>
    <w:rsid w:val="00C710C3"/>
    <w:rsid w:val="00C71B8C"/>
    <w:rsid w:val="00C71D2A"/>
    <w:rsid w:val="00C72B2F"/>
    <w:rsid w:val="00C72CDC"/>
    <w:rsid w:val="00C73211"/>
    <w:rsid w:val="00C73CE3"/>
    <w:rsid w:val="00C73D7D"/>
    <w:rsid w:val="00C7442E"/>
    <w:rsid w:val="00C7454B"/>
    <w:rsid w:val="00C74FEF"/>
    <w:rsid w:val="00C751FE"/>
    <w:rsid w:val="00C753F2"/>
    <w:rsid w:val="00C757C2"/>
    <w:rsid w:val="00C75C9E"/>
    <w:rsid w:val="00C75EE9"/>
    <w:rsid w:val="00C75F0A"/>
    <w:rsid w:val="00C7629F"/>
    <w:rsid w:val="00C7638C"/>
    <w:rsid w:val="00C76772"/>
    <w:rsid w:val="00C76861"/>
    <w:rsid w:val="00C7687D"/>
    <w:rsid w:val="00C76AA1"/>
    <w:rsid w:val="00C76D20"/>
    <w:rsid w:val="00C76D47"/>
    <w:rsid w:val="00C77263"/>
    <w:rsid w:val="00C77E2F"/>
    <w:rsid w:val="00C77EC9"/>
    <w:rsid w:val="00C77FB2"/>
    <w:rsid w:val="00C8083A"/>
    <w:rsid w:val="00C80B48"/>
    <w:rsid w:val="00C81102"/>
    <w:rsid w:val="00C828F1"/>
    <w:rsid w:val="00C82900"/>
    <w:rsid w:val="00C8327A"/>
    <w:rsid w:val="00C83E94"/>
    <w:rsid w:val="00C83EA7"/>
    <w:rsid w:val="00C842BD"/>
    <w:rsid w:val="00C8556F"/>
    <w:rsid w:val="00C857F2"/>
    <w:rsid w:val="00C85CE5"/>
    <w:rsid w:val="00C86456"/>
    <w:rsid w:val="00C86AA6"/>
    <w:rsid w:val="00C873FD"/>
    <w:rsid w:val="00C87C53"/>
    <w:rsid w:val="00C87E40"/>
    <w:rsid w:val="00C9020F"/>
    <w:rsid w:val="00C905B6"/>
    <w:rsid w:val="00C90799"/>
    <w:rsid w:val="00C90BF7"/>
    <w:rsid w:val="00C91407"/>
    <w:rsid w:val="00C91628"/>
    <w:rsid w:val="00C91E22"/>
    <w:rsid w:val="00C92206"/>
    <w:rsid w:val="00C929E1"/>
    <w:rsid w:val="00C92DAC"/>
    <w:rsid w:val="00C92F28"/>
    <w:rsid w:val="00C933A3"/>
    <w:rsid w:val="00C94C93"/>
    <w:rsid w:val="00C9544F"/>
    <w:rsid w:val="00C959BA"/>
    <w:rsid w:val="00C96011"/>
    <w:rsid w:val="00C9637D"/>
    <w:rsid w:val="00C965B9"/>
    <w:rsid w:val="00C96C32"/>
    <w:rsid w:val="00C977C8"/>
    <w:rsid w:val="00C979B2"/>
    <w:rsid w:val="00CA02EE"/>
    <w:rsid w:val="00CA08BF"/>
    <w:rsid w:val="00CA0956"/>
    <w:rsid w:val="00CA0A9E"/>
    <w:rsid w:val="00CA0B2F"/>
    <w:rsid w:val="00CA171E"/>
    <w:rsid w:val="00CA1EED"/>
    <w:rsid w:val="00CA1FE0"/>
    <w:rsid w:val="00CA2162"/>
    <w:rsid w:val="00CA3246"/>
    <w:rsid w:val="00CA32D0"/>
    <w:rsid w:val="00CA3941"/>
    <w:rsid w:val="00CA3A70"/>
    <w:rsid w:val="00CA3F16"/>
    <w:rsid w:val="00CA4281"/>
    <w:rsid w:val="00CA5562"/>
    <w:rsid w:val="00CA5642"/>
    <w:rsid w:val="00CA5BCC"/>
    <w:rsid w:val="00CA61EB"/>
    <w:rsid w:val="00CA7210"/>
    <w:rsid w:val="00CA78E9"/>
    <w:rsid w:val="00CB006D"/>
    <w:rsid w:val="00CB033E"/>
    <w:rsid w:val="00CB04EF"/>
    <w:rsid w:val="00CB04F1"/>
    <w:rsid w:val="00CB123A"/>
    <w:rsid w:val="00CB12C0"/>
    <w:rsid w:val="00CB1511"/>
    <w:rsid w:val="00CB185A"/>
    <w:rsid w:val="00CB1BBA"/>
    <w:rsid w:val="00CB1BC1"/>
    <w:rsid w:val="00CB1DCE"/>
    <w:rsid w:val="00CB1F35"/>
    <w:rsid w:val="00CB325B"/>
    <w:rsid w:val="00CB34A1"/>
    <w:rsid w:val="00CB3B3B"/>
    <w:rsid w:val="00CB3B71"/>
    <w:rsid w:val="00CB3E7B"/>
    <w:rsid w:val="00CB3F46"/>
    <w:rsid w:val="00CB4023"/>
    <w:rsid w:val="00CB4A7C"/>
    <w:rsid w:val="00CB4B82"/>
    <w:rsid w:val="00CB4C16"/>
    <w:rsid w:val="00CB577C"/>
    <w:rsid w:val="00CB6549"/>
    <w:rsid w:val="00CB6B00"/>
    <w:rsid w:val="00CB76BD"/>
    <w:rsid w:val="00CB7969"/>
    <w:rsid w:val="00CB79F5"/>
    <w:rsid w:val="00CB7A50"/>
    <w:rsid w:val="00CB7E2D"/>
    <w:rsid w:val="00CC08A7"/>
    <w:rsid w:val="00CC13E4"/>
    <w:rsid w:val="00CC153C"/>
    <w:rsid w:val="00CC1F9D"/>
    <w:rsid w:val="00CC269A"/>
    <w:rsid w:val="00CC2738"/>
    <w:rsid w:val="00CC2766"/>
    <w:rsid w:val="00CC2BAC"/>
    <w:rsid w:val="00CC350D"/>
    <w:rsid w:val="00CC3E9B"/>
    <w:rsid w:val="00CC3EBD"/>
    <w:rsid w:val="00CC4669"/>
    <w:rsid w:val="00CC4C6D"/>
    <w:rsid w:val="00CC55D4"/>
    <w:rsid w:val="00CC57E3"/>
    <w:rsid w:val="00CC5A08"/>
    <w:rsid w:val="00CC5C01"/>
    <w:rsid w:val="00CC5CA5"/>
    <w:rsid w:val="00CC7236"/>
    <w:rsid w:val="00CC73D1"/>
    <w:rsid w:val="00CC7B78"/>
    <w:rsid w:val="00CD0DEE"/>
    <w:rsid w:val="00CD1928"/>
    <w:rsid w:val="00CD1BE3"/>
    <w:rsid w:val="00CD24E7"/>
    <w:rsid w:val="00CD2703"/>
    <w:rsid w:val="00CD2C14"/>
    <w:rsid w:val="00CD2E4A"/>
    <w:rsid w:val="00CD3246"/>
    <w:rsid w:val="00CD3AD3"/>
    <w:rsid w:val="00CD41B9"/>
    <w:rsid w:val="00CD46EA"/>
    <w:rsid w:val="00CD51BA"/>
    <w:rsid w:val="00CD581F"/>
    <w:rsid w:val="00CD5987"/>
    <w:rsid w:val="00CD5AF9"/>
    <w:rsid w:val="00CD5DB4"/>
    <w:rsid w:val="00CD5E67"/>
    <w:rsid w:val="00CD69D3"/>
    <w:rsid w:val="00CD69D4"/>
    <w:rsid w:val="00CD6E7B"/>
    <w:rsid w:val="00CD6F8C"/>
    <w:rsid w:val="00CD70E5"/>
    <w:rsid w:val="00CD7553"/>
    <w:rsid w:val="00CD7927"/>
    <w:rsid w:val="00CD7C15"/>
    <w:rsid w:val="00CE066A"/>
    <w:rsid w:val="00CE06D1"/>
    <w:rsid w:val="00CE0791"/>
    <w:rsid w:val="00CE0FFB"/>
    <w:rsid w:val="00CE1077"/>
    <w:rsid w:val="00CE1217"/>
    <w:rsid w:val="00CE125F"/>
    <w:rsid w:val="00CE15B7"/>
    <w:rsid w:val="00CE161B"/>
    <w:rsid w:val="00CE17CA"/>
    <w:rsid w:val="00CE1919"/>
    <w:rsid w:val="00CE1C6F"/>
    <w:rsid w:val="00CE220C"/>
    <w:rsid w:val="00CE2BF4"/>
    <w:rsid w:val="00CE2F42"/>
    <w:rsid w:val="00CE3E91"/>
    <w:rsid w:val="00CE4078"/>
    <w:rsid w:val="00CE43B7"/>
    <w:rsid w:val="00CE44AE"/>
    <w:rsid w:val="00CE4B3A"/>
    <w:rsid w:val="00CE5AA5"/>
    <w:rsid w:val="00CE5F47"/>
    <w:rsid w:val="00CE67FC"/>
    <w:rsid w:val="00CE69F8"/>
    <w:rsid w:val="00CE7069"/>
    <w:rsid w:val="00CE7D88"/>
    <w:rsid w:val="00CF00DD"/>
    <w:rsid w:val="00CF013F"/>
    <w:rsid w:val="00CF0440"/>
    <w:rsid w:val="00CF06A0"/>
    <w:rsid w:val="00CF0A69"/>
    <w:rsid w:val="00CF0A88"/>
    <w:rsid w:val="00CF0E97"/>
    <w:rsid w:val="00CF121D"/>
    <w:rsid w:val="00CF1954"/>
    <w:rsid w:val="00CF1A05"/>
    <w:rsid w:val="00CF2627"/>
    <w:rsid w:val="00CF2685"/>
    <w:rsid w:val="00CF32DF"/>
    <w:rsid w:val="00CF34AC"/>
    <w:rsid w:val="00CF34F5"/>
    <w:rsid w:val="00CF3782"/>
    <w:rsid w:val="00CF5015"/>
    <w:rsid w:val="00CF5804"/>
    <w:rsid w:val="00CF5BAF"/>
    <w:rsid w:val="00CF654C"/>
    <w:rsid w:val="00CF67D7"/>
    <w:rsid w:val="00CF6C26"/>
    <w:rsid w:val="00CF7187"/>
    <w:rsid w:val="00CF7333"/>
    <w:rsid w:val="00CF7553"/>
    <w:rsid w:val="00CF75FE"/>
    <w:rsid w:val="00CF7710"/>
    <w:rsid w:val="00CF78BB"/>
    <w:rsid w:val="00D00165"/>
    <w:rsid w:val="00D00173"/>
    <w:rsid w:val="00D005BB"/>
    <w:rsid w:val="00D007DD"/>
    <w:rsid w:val="00D0116A"/>
    <w:rsid w:val="00D012E6"/>
    <w:rsid w:val="00D0186C"/>
    <w:rsid w:val="00D01A64"/>
    <w:rsid w:val="00D01D3B"/>
    <w:rsid w:val="00D02344"/>
    <w:rsid w:val="00D02509"/>
    <w:rsid w:val="00D03A5E"/>
    <w:rsid w:val="00D03B2A"/>
    <w:rsid w:val="00D03ECC"/>
    <w:rsid w:val="00D0404F"/>
    <w:rsid w:val="00D05186"/>
    <w:rsid w:val="00D054F0"/>
    <w:rsid w:val="00D05686"/>
    <w:rsid w:val="00D05BA8"/>
    <w:rsid w:val="00D05E49"/>
    <w:rsid w:val="00D076CE"/>
    <w:rsid w:val="00D077B2"/>
    <w:rsid w:val="00D07C62"/>
    <w:rsid w:val="00D11F93"/>
    <w:rsid w:val="00D127EF"/>
    <w:rsid w:val="00D12C18"/>
    <w:rsid w:val="00D12C9B"/>
    <w:rsid w:val="00D12FF9"/>
    <w:rsid w:val="00D13212"/>
    <w:rsid w:val="00D1368A"/>
    <w:rsid w:val="00D13889"/>
    <w:rsid w:val="00D13BEF"/>
    <w:rsid w:val="00D14DB9"/>
    <w:rsid w:val="00D14F95"/>
    <w:rsid w:val="00D15396"/>
    <w:rsid w:val="00D1545B"/>
    <w:rsid w:val="00D15623"/>
    <w:rsid w:val="00D15835"/>
    <w:rsid w:val="00D15CF1"/>
    <w:rsid w:val="00D160A1"/>
    <w:rsid w:val="00D16168"/>
    <w:rsid w:val="00D16F60"/>
    <w:rsid w:val="00D17114"/>
    <w:rsid w:val="00D1753D"/>
    <w:rsid w:val="00D20B06"/>
    <w:rsid w:val="00D20CC6"/>
    <w:rsid w:val="00D20F55"/>
    <w:rsid w:val="00D213E1"/>
    <w:rsid w:val="00D215AC"/>
    <w:rsid w:val="00D21883"/>
    <w:rsid w:val="00D218D4"/>
    <w:rsid w:val="00D21B79"/>
    <w:rsid w:val="00D21DAC"/>
    <w:rsid w:val="00D226C7"/>
    <w:rsid w:val="00D226DF"/>
    <w:rsid w:val="00D227C5"/>
    <w:rsid w:val="00D22D43"/>
    <w:rsid w:val="00D22EC9"/>
    <w:rsid w:val="00D23674"/>
    <w:rsid w:val="00D23CB0"/>
    <w:rsid w:val="00D24C87"/>
    <w:rsid w:val="00D24D13"/>
    <w:rsid w:val="00D24EDB"/>
    <w:rsid w:val="00D252A3"/>
    <w:rsid w:val="00D25E5D"/>
    <w:rsid w:val="00D25FE3"/>
    <w:rsid w:val="00D261C3"/>
    <w:rsid w:val="00D2622A"/>
    <w:rsid w:val="00D263B5"/>
    <w:rsid w:val="00D27177"/>
    <w:rsid w:val="00D27206"/>
    <w:rsid w:val="00D27802"/>
    <w:rsid w:val="00D278E7"/>
    <w:rsid w:val="00D30488"/>
    <w:rsid w:val="00D3056D"/>
    <w:rsid w:val="00D30849"/>
    <w:rsid w:val="00D30D84"/>
    <w:rsid w:val="00D311E2"/>
    <w:rsid w:val="00D3169B"/>
    <w:rsid w:val="00D31DC8"/>
    <w:rsid w:val="00D31E33"/>
    <w:rsid w:val="00D32B02"/>
    <w:rsid w:val="00D33429"/>
    <w:rsid w:val="00D33878"/>
    <w:rsid w:val="00D33CCE"/>
    <w:rsid w:val="00D33EB9"/>
    <w:rsid w:val="00D340D7"/>
    <w:rsid w:val="00D34147"/>
    <w:rsid w:val="00D34D99"/>
    <w:rsid w:val="00D34DD3"/>
    <w:rsid w:val="00D350A7"/>
    <w:rsid w:val="00D3561C"/>
    <w:rsid w:val="00D356B9"/>
    <w:rsid w:val="00D35914"/>
    <w:rsid w:val="00D35B2E"/>
    <w:rsid w:val="00D35CC1"/>
    <w:rsid w:val="00D36404"/>
    <w:rsid w:val="00D36751"/>
    <w:rsid w:val="00D369E3"/>
    <w:rsid w:val="00D36DA2"/>
    <w:rsid w:val="00D36E9B"/>
    <w:rsid w:val="00D3751A"/>
    <w:rsid w:val="00D377D8"/>
    <w:rsid w:val="00D379EC"/>
    <w:rsid w:val="00D37D45"/>
    <w:rsid w:val="00D37E67"/>
    <w:rsid w:val="00D400F9"/>
    <w:rsid w:val="00D408E2"/>
    <w:rsid w:val="00D40FA8"/>
    <w:rsid w:val="00D412EE"/>
    <w:rsid w:val="00D413E6"/>
    <w:rsid w:val="00D41509"/>
    <w:rsid w:val="00D41EE0"/>
    <w:rsid w:val="00D41F78"/>
    <w:rsid w:val="00D425BB"/>
    <w:rsid w:val="00D427F1"/>
    <w:rsid w:val="00D42EF9"/>
    <w:rsid w:val="00D43010"/>
    <w:rsid w:val="00D43674"/>
    <w:rsid w:val="00D43693"/>
    <w:rsid w:val="00D4390D"/>
    <w:rsid w:val="00D43A3E"/>
    <w:rsid w:val="00D43C35"/>
    <w:rsid w:val="00D43F92"/>
    <w:rsid w:val="00D442E7"/>
    <w:rsid w:val="00D4453A"/>
    <w:rsid w:val="00D44A11"/>
    <w:rsid w:val="00D44D0B"/>
    <w:rsid w:val="00D44F32"/>
    <w:rsid w:val="00D44FE6"/>
    <w:rsid w:val="00D45CA3"/>
    <w:rsid w:val="00D4618B"/>
    <w:rsid w:val="00D46254"/>
    <w:rsid w:val="00D468BF"/>
    <w:rsid w:val="00D46FAE"/>
    <w:rsid w:val="00D4717E"/>
    <w:rsid w:val="00D47F92"/>
    <w:rsid w:val="00D50671"/>
    <w:rsid w:val="00D50CC5"/>
    <w:rsid w:val="00D5109E"/>
    <w:rsid w:val="00D516AB"/>
    <w:rsid w:val="00D51B0D"/>
    <w:rsid w:val="00D51B4A"/>
    <w:rsid w:val="00D51C74"/>
    <w:rsid w:val="00D51C75"/>
    <w:rsid w:val="00D53271"/>
    <w:rsid w:val="00D534D7"/>
    <w:rsid w:val="00D53EE9"/>
    <w:rsid w:val="00D53F2D"/>
    <w:rsid w:val="00D54184"/>
    <w:rsid w:val="00D54E52"/>
    <w:rsid w:val="00D54F0D"/>
    <w:rsid w:val="00D55B18"/>
    <w:rsid w:val="00D56332"/>
    <w:rsid w:val="00D5679A"/>
    <w:rsid w:val="00D567FD"/>
    <w:rsid w:val="00D56EE3"/>
    <w:rsid w:val="00D5753B"/>
    <w:rsid w:val="00D575DD"/>
    <w:rsid w:val="00D5760A"/>
    <w:rsid w:val="00D579F2"/>
    <w:rsid w:val="00D57A5C"/>
    <w:rsid w:val="00D607EE"/>
    <w:rsid w:val="00D61407"/>
    <w:rsid w:val="00D616D3"/>
    <w:rsid w:val="00D61BA9"/>
    <w:rsid w:val="00D620FB"/>
    <w:rsid w:val="00D6252E"/>
    <w:rsid w:val="00D6281C"/>
    <w:rsid w:val="00D62A70"/>
    <w:rsid w:val="00D62BCF"/>
    <w:rsid w:val="00D6312D"/>
    <w:rsid w:val="00D6472A"/>
    <w:rsid w:val="00D6473E"/>
    <w:rsid w:val="00D64F97"/>
    <w:rsid w:val="00D653C1"/>
    <w:rsid w:val="00D65471"/>
    <w:rsid w:val="00D66081"/>
    <w:rsid w:val="00D66185"/>
    <w:rsid w:val="00D666CD"/>
    <w:rsid w:val="00D66B68"/>
    <w:rsid w:val="00D66DB6"/>
    <w:rsid w:val="00D67095"/>
    <w:rsid w:val="00D67105"/>
    <w:rsid w:val="00D67329"/>
    <w:rsid w:val="00D67A0B"/>
    <w:rsid w:val="00D7001A"/>
    <w:rsid w:val="00D70845"/>
    <w:rsid w:val="00D70968"/>
    <w:rsid w:val="00D70BB4"/>
    <w:rsid w:val="00D70F1D"/>
    <w:rsid w:val="00D717AB"/>
    <w:rsid w:val="00D718EA"/>
    <w:rsid w:val="00D72356"/>
    <w:rsid w:val="00D723C3"/>
    <w:rsid w:val="00D72528"/>
    <w:rsid w:val="00D7346D"/>
    <w:rsid w:val="00D7362D"/>
    <w:rsid w:val="00D73CA3"/>
    <w:rsid w:val="00D74309"/>
    <w:rsid w:val="00D745D4"/>
    <w:rsid w:val="00D749CF"/>
    <w:rsid w:val="00D74B4B"/>
    <w:rsid w:val="00D75053"/>
    <w:rsid w:val="00D750E6"/>
    <w:rsid w:val="00D75261"/>
    <w:rsid w:val="00D75C8B"/>
    <w:rsid w:val="00D766F5"/>
    <w:rsid w:val="00D76995"/>
    <w:rsid w:val="00D76D92"/>
    <w:rsid w:val="00D76F61"/>
    <w:rsid w:val="00D76F86"/>
    <w:rsid w:val="00D77813"/>
    <w:rsid w:val="00D77B9B"/>
    <w:rsid w:val="00D8017B"/>
    <w:rsid w:val="00D802A4"/>
    <w:rsid w:val="00D80317"/>
    <w:rsid w:val="00D818B8"/>
    <w:rsid w:val="00D81A71"/>
    <w:rsid w:val="00D81AB4"/>
    <w:rsid w:val="00D81D5C"/>
    <w:rsid w:val="00D81F67"/>
    <w:rsid w:val="00D82042"/>
    <w:rsid w:val="00D82361"/>
    <w:rsid w:val="00D827C3"/>
    <w:rsid w:val="00D82804"/>
    <w:rsid w:val="00D82EE5"/>
    <w:rsid w:val="00D831C3"/>
    <w:rsid w:val="00D840DD"/>
    <w:rsid w:val="00D84156"/>
    <w:rsid w:val="00D8449C"/>
    <w:rsid w:val="00D8479A"/>
    <w:rsid w:val="00D84980"/>
    <w:rsid w:val="00D84D23"/>
    <w:rsid w:val="00D85F0F"/>
    <w:rsid w:val="00D8608A"/>
    <w:rsid w:val="00D86818"/>
    <w:rsid w:val="00D86BB2"/>
    <w:rsid w:val="00D86FAE"/>
    <w:rsid w:val="00D87288"/>
    <w:rsid w:val="00D874B5"/>
    <w:rsid w:val="00D87721"/>
    <w:rsid w:val="00D878DB"/>
    <w:rsid w:val="00D87F38"/>
    <w:rsid w:val="00D900EF"/>
    <w:rsid w:val="00D9014E"/>
    <w:rsid w:val="00D90153"/>
    <w:rsid w:val="00D901ED"/>
    <w:rsid w:val="00D90202"/>
    <w:rsid w:val="00D90609"/>
    <w:rsid w:val="00D90ADD"/>
    <w:rsid w:val="00D91337"/>
    <w:rsid w:val="00D916F5"/>
    <w:rsid w:val="00D9182A"/>
    <w:rsid w:val="00D91C86"/>
    <w:rsid w:val="00D92511"/>
    <w:rsid w:val="00D9284E"/>
    <w:rsid w:val="00D92DD9"/>
    <w:rsid w:val="00D9349D"/>
    <w:rsid w:val="00D934D4"/>
    <w:rsid w:val="00D93EE7"/>
    <w:rsid w:val="00D947A4"/>
    <w:rsid w:val="00D94871"/>
    <w:rsid w:val="00D9487D"/>
    <w:rsid w:val="00D958FA"/>
    <w:rsid w:val="00D95B52"/>
    <w:rsid w:val="00D95CF2"/>
    <w:rsid w:val="00D96149"/>
    <w:rsid w:val="00D96884"/>
    <w:rsid w:val="00D96D4E"/>
    <w:rsid w:val="00D96EB9"/>
    <w:rsid w:val="00D9724B"/>
    <w:rsid w:val="00D976A9"/>
    <w:rsid w:val="00D977E9"/>
    <w:rsid w:val="00D9781D"/>
    <w:rsid w:val="00DA0E98"/>
    <w:rsid w:val="00DA1308"/>
    <w:rsid w:val="00DA1367"/>
    <w:rsid w:val="00DA1EEE"/>
    <w:rsid w:val="00DA2655"/>
    <w:rsid w:val="00DA2A13"/>
    <w:rsid w:val="00DA2D92"/>
    <w:rsid w:val="00DA3AE5"/>
    <w:rsid w:val="00DA442D"/>
    <w:rsid w:val="00DA4622"/>
    <w:rsid w:val="00DA46A9"/>
    <w:rsid w:val="00DA5A00"/>
    <w:rsid w:val="00DA5A11"/>
    <w:rsid w:val="00DA5FDF"/>
    <w:rsid w:val="00DA627F"/>
    <w:rsid w:val="00DA6305"/>
    <w:rsid w:val="00DA6751"/>
    <w:rsid w:val="00DA792F"/>
    <w:rsid w:val="00DA7AFF"/>
    <w:rsid w:val="00DB03EB"/>
    <w:rsid w:val="00DB07AD"/>
    <w:rsid w:val="00DB0E78"/>
    <w:rsid w:val="00DB1068"/>
    <w:rsid w:val="00DB168B"/>
    <w:rsid w:val="00DB245E"/>
    <w:rsid w:val="00DB2999"/>
    <w:rsid w:val="00DB2F1D"/>
    <w:rsid w:val="00DB3604"/>
    <w:rsid w:val="00DB3960"/>
    <w:rsid w:val="00DB3D95"/>
    <w:rsid w:val="00DB4317"/>
    <w:rsid w:val="00DB45A8"/>
    <w:rsid w:val="00DB46FE"/>
    <w:rsid w:val="00DB475D"/>
    <w:rsid w:val="00DB4892"/>
    <w:rsid w:val="00DB4F75"/>
    <w:rsid w:val="00DB53DE"/>
    <w:rsid w:val="00DB5523"/>
    <w:rsid w:val="00DB5CC5"/>
    <w:rsid w:val="00DB5F28"/>
    <w:rsid w:val="00DB746C"/>
    <w:rsid w:val="00DB7915"/>
    <w:rsid w:val="00DB7F14"/>
    <w:rsid w:val="00DC00DD"/>
    <w:rsid w:val="00DC09B2"/>
    <w:rsid w:val="00DC0FB0"/>
    <w:rsid w:val="00DC1220"/>
    <w:rsid w:val="00DC159B"/>
    <w:rsid w:val="00DC1D7D"/>
    <w:rsid w:val="00DC266A"/>
    <w:rsid w:val="00DC268A"/>
    <w:rsid w:val="00DC35D2"/>
    <w:rsid w:val="00DC3648"/>
    <w:rsid w:val="00DC4789"/>
    <w:rsid w:val="00DC4C92"/>
    <w:rsid w:val="00DC5128"/>
    <w:rsid w:val="00DC5FCC"/>
    <w:rsid w:val="00DC6147"/>
    <w:rsid w:val="00DC67EA"/>
    <w:rsid w:val="00DC6B23"/>
    <w:rsid w:val="00DC6EC2"/>
    <w:rsid w:val="00DC716A"/>
    <w:rsid w:val="00DC75A4"/>
    <w:rsid w:val="00DC76C4"/>
    <w:rsid w:val="00DC7979"/>
    <w:rsid w:val="00DD06DA"/>
    <w:rsid w:val="00DD0761"/>
    <w:rsid w:val="00DD0ED2"/>
    <w:rsid w:val="00DD0F8F"/>
    <w:rsid w:val="00DD10B4"/>
    <w:rsid w:val="00DD11E2"/>
    <w:rsid w:val="00DD1709"/>
    <w:rsid w:val="00DD1AE2"/>
    <w:rsid w:val="00DD1C93"/>
    <w:rsid w:val="00DD1D99"/>
    <w:rsid w:val="00DD277B"/>
    <w:rsid w:val="00DD2BE9"/>
    <w:rsid w:val="00DD3184"/>
    <w:rsid w:val="00DD3684"/>
    <w:rsid w:val="00DD3ACE"/>
    <w:rsid w:val="00DD4577"/>
    <w:rsid w:val="00DD4642"/>
    <w:rsid w:val="00DD4647"/>
    <w:rsid w:val="00DD5956"/>
    <w:rsid w:val="00DD5B39"/>
    <w:rsid w:val="00DD5CA0"/>
    <w:rsid w:val="00DD5DC7"/>
    <w:rsid w:val="00DD61E8"/>
    <w:rsid w:val="00DD62C1"/>
    <w:rsid w:val="00DD668C"/>
    <w:rsid w:val="00DD66E5"/>
    <w:rsid w:val="00DD747B"/>
    <w:rsid w:val="00DD76B9"/>
    <w:rsid w:val="00DE01BA"/>
    <w:rsid w:val="00DE0AAD"/>
    <w:rsid w:val="00DE0B29"/>
    <w:rsid w:val="00DE0F16"/>
    <w:rsid w:val="00DE1511"/>
    <w:rsid w:val="00DE23E6"/>
    <w:rsid w:val="00DE26BC"/>
    <w:rsid w:val="00DE2C70"/>
    <w:rsid w:val="00DE2D66"/>
    <w:rsid w:val="00DE2DEC"/>
    <w:rsid w:val="00DE3139"/>
    <w:rsid w:val="00DE3C0A"/>
    <w:rsid w:val="00DE3C0D"/>
    <w:rsid w:val="00DE3C4B"/>
    <w:rsid w:val="00DE51B8"/>
    <w:rsid w:val="00DE52AD"/>
    <w:rsid w:val="00DE53DA"/>
    <w:rsid w:val="00DE58C9"/>
    <w:rsid w:val="00DE6977"/>
    <w:rsid w:val="00DE70F9"/>
    <w:rsid w:val="00DE714B"/>
    <w:rsid w:val="00DE71F5"/>
    <w:rsid w:val="00DE7284"/>
    <w:rsid w:val="00DE72CD"/>
    <w:rsid w:val="00DE7385"/>
    <w:rsid w:val="00DE73BD"/>
    <w:rsid w:val="00DE76FA"/>
    <w:rsid w:val="00DE7D3F"/>
    <w:rsid w:val="00DE7E1A"/>
    <w:rsid w:val="00DF0095"/>
    <w:rsid w:val="00DF00D3"/>
    <w:rsid w:val="00DF1504"/>
    <w:rsid w:val="00DF1BFF"/>
    <w:rsid w:val="00DF20CC"/>
    <w:rsid w:val="00DF24E8"/>
    <w:rsid w:val="00DF2DF6"/>
    <w:rsid w:val="00DF2F00"/>
    <w:rsid w:val="00DF40E0"/>
    <w:rsid w:val="00DF4E10"/>
    <w:rsid w:val="00DF57F3"/>
    <w:rsid w:val="00DF5CCD"/>
    <w:rsid w:val="00DF5F60"/>
    <w:rsid w:val="00DF62EC"/>
    <w:rsid w:val="00DF651B"/>
    <w:rsid w:val="00DF6805"/>
    <w:rsid w:val="00DF6889"/>
    <w:rsid w:val="00DF6AA1"/>
    <w:rsid w:val="00DF6B2F"/>
    <w:rsid w:val="00DF71A3"/>
    <w:rsid w:val="00DF7201"/>
    <w:rsid w:val="00DF77EC"/>
    <w:rsid w:val="00E0014A"/>
    <w:rsid w:val="00E00633"/>
    <w:rsid w:val="00E00A7C"/>
    <w:rsid w:val="00E0119E"/>
    <w:rsid w:val="00E0137F"/>
    <w:rsid w:val="00E01AB7"/>
    <w:rsid w:val="00E01FA3"/>
    <w:rsid w:val="00E02084"/>
    <w:rsid w:val="00E02418"/>
    <w:rsid w:val="00E03188"/>
    <w:rsid w:val="00E03BFE"/>
    <w:rsid w:val="00E03C67"/>
    <w:rsid w:val="00E03C8B"/>
    <w:rsid w:val="00E040E7"/>
    <w:rsid w:val="00E043DC"/>
    <w:rsid w:val="00E0479F"/>
    <w:rsid w:val="00E048CD"/>
    <w:rsid w:val="00E04982"/>
    <w:rsid w:val="00E04E73"/>
    <w:rsid w:val="00E0531F"/>
    <w:rsid w:val="00E05AAF"/>
    <w:rsid w:val="00E0649A"/>
    <w:rsid w:val="00E067A4"/>
    <w:rsid w:val="00E06A98"/>
    <w:rsid w:val="00E102BE"/>
    <w:rsid w:val="00E110B6"/>
    <w:rsid w:val="00E11C50"/>
    <w:rsid w:val="00E12736"/>
    <w:rsid w:val="00E1287F"/>
    <w:rsid w:val="00E12B6A"/>
    <w:rsid w:val="00E12BF5"/>
    <w:rsid w:val="00E12CA0"/>
    <w:rsid w:val="00E12F1E"/>
    <w:rsid w:val="00E13540"/>
    <w:rsid w:val="00E1361D"/>
    <w:rsid w:val="00E1418E"/>
    <w:rsid w:val="00E155DC"/>
    <w:rsid w:val="00E1580E"/>
    <w:rsid w:val="00E15D27"/>
    <w:rsid w:val="00E15D2E"/>
    <w:rsid w:val="00E16EB1"/>
    <w:rsid w:val="00E16FE7"/>
    <w:rsid w:val="00E1757B"/>
    <w:rsid w:val="00E1773F"/>
    <w:rsid w:val="00E17B2C"/>
    <w:rsid w:val="00E20255"/>
    <w:rsid w:val="00E204ED"/>
    <w:rsid w:val="00E20526"/>
    <w:rsid w:val="00E20963"/>
    <w:rsid w:val="00E209F6"/>
    <w:rsid w:val="00E211E0"/>
    <w:rsid w:val="00E2166B"/>
    <w:rsid w:val="00E2175A"/>
    <w:rsid w:val="00E22121"/>
    <w:rsid w:val="00E22EEE"/>
    <w:rsid w:val="00E24A4D"/>
    <w:rsid w:val="00E24F8C"/>
    <w:rsid w:val="00E25827"/>
    <w:rsid w:val="00E2582E"/>
    <w:rsid w:val="00E265D1"/>
    <w:rsid w:val="00E268F7"/>
    <w:rsid w:val="00E26C71"/>
    <w:rsid w:val="00E27463"/>
    <w:rsid w:val="00E27822"/>
    <w:rsid w:val="00E308B6"/>
    <w:rsid w:val="00E3103E"/>
    <w:rsid w:val="00E31B04"/>
    <w:rsid w:val="00E31F49"/>
    <w:rsid w:val="00E3299C"/>
    <w:rsid w:val="00E329CC"/>
    <w:rsid w:val="00E32E99"/>
    <w:rsid w:val="00E33361"/>
    <w:rsid w:val="00E33B9E"/>
    <w:rsid w:val="00E33BB0"/>
    <w:rsid w:val="00E34559"/>
    <w:rsid w:val="00E34EEC"/>
    <w:rsid w:val="00E3552E"/>
    <w:rsid w:val="00E35870"/>
    <w:rsid w:val="00E35BF1"/>
    <w:rsid w:val="00E35D1E"/>
    <w:rsid w:val="00E363D1"/>
    <w:rsid w:val="00E3699B"/>
    <w:rsid w:val="00E36A1E"/>
    <w:rsid w:val="00E36DA5"/>
    <w:rsid w:val="00E372C0"/>
    <w:rsid w:val="00E3771F"/>
    <w:rsid w:val="00E37E08"/>
    <w:rsid w:val="00E406F8"/>
    <w:rsid w:val="00E4085A"/>
    <w:rsid w:val="00E4111F"/>
    <w:rsid w:val="00E411B1"/>
    <w:rsid w:val="00E42565"/>
    <w:rsid w:val="00E42E62"/>
    <w:rsid w:val="00E434BC"/>
    <w:rsid w:val="00E43A71"/>
    <w:rsid w:val="00E43DD4"/>
    <w:rsid w:val="00E43EE1"/>
    <w:rsid w:val="00E44305"/>
    <w:rsid w:val="00E444F7"/>
    <w:rsid w:val="00E446A7"/>
    <w:rsid w:val="00E44F76"/>
    <w:rsid w:val="00E451F4"/>
    <w:rsid w:val="00E46187"/>
    <w:rsid w:val="00E4678B"/>
    <w:rsid w:val="00E46A43"/>
    <w:rsid w:val="00E46AC7"/>
    <w:rsid w:val="00E46DD0"/>
    <w:rsid w:val="00E47952"/>
    <w:rsid w:val="00E47B69"/>
    <w:rsid w:val="00E47DE5"/>
    <w:rsid w:val="00E47FE6"/>
    <w:rsid w:val="00E5003B"/>
    <w:rsid w:val="00E50C0D"/>
    <w:rsid w:val="00E51285"/>
    <w:rsid w:val="00E5132D"/>
    <w:rsid w:val="00E51AC3"/>
    <w:rsid w:val="00E51FD6"/>
    <w:rsid w:val="00E52D71"/>
    <w:rsid w:val="00E53136"/>
    <w:rsid w:val="00E53D7A"/>
    <w:rsid w:val="00E54B3E"/>
    <w:rsid w:val="00E54DD9"/>
    <w:rsid w:val="00E55EF0"/>
    <w:rsid w:val="00E5603E"/>
    <w:rsid w:val="00E560D7"/>
    <w:rsid w:val="00E56748"/>
    <w:rsid w:val="00E56850"/>
    <w:rsid w:val="00E56A42"/>
    <w:rsid w:val="00E56E04"/>
    <w:rsid w:val="00E5744A"/>
    <w:rsid w:val="00E5799A"/>
    <w:rsid w:val="00E57B17"/>
    <w:rsid w:val="00E57BF7"/>
    <w:rsid w:val="00E60236"/>
    <w:rsid w:val="00E606B4"/>
    <w:rsid w:val="00E61B2B"/>
    <w:rsid w:val="00E620D6"/>
    <w:rsid w:val="00E62172"/>
    <w:rsid w:val="00E6225E"/>
    <w:rsid w:val="00E622A0"/>
    <w:rsid w:val="00E628AB"/>
    <w:rsid w:val="00E62921"/>
    <w:rsid w:val="00E62F87"/>
    <w:rsid w:val="00E630FB"/>
    <w:rsid w:val="00E63115"/>
    <w:rsid w:val="00E63B00"/>
    <w:rsid w:val="00E63FA9"/>
    <w:rsid w:val="00E64B9C"/>
    <w:rsid w:val="00E64FDC"/>
    <w:rsid w:val="00E65001"/>
    <w:rsid w:val="00E6516B"/>
    <w:rsid w:val="00E65472"/>
    <w:rsid w:val="00E65C0B"/>
    <w:rsid w:val="00E65DD7"/>
    <w:rsid w:val="00E65EE5"/>
    <w:rsid w:val="00E66891"/>
    <w:rsid w:val="00E672F9"/>
    <w:rsid w:val="00E6737E"/>
    <w:rsid w:val="00E67538"/>
    <w:rsid w:val="00E67C6D"/>
    <w:rsid w:val="00E70007"/>
    <w:rsid w:val="00E70085"/>
    <w:rsid w:val="00E70B43"/>
    <w:rsid w:val="00E70BE9"/>
    <w:rsid w:val="00E7116B"/>
    <w:rsid w:val="00E714BC"/>
    <w:rsid w:val="00E7179E"/>
    <w:rsid w:val="00E71B75"/>
    <w:rsid w:val="00E721B1"/>
    <w:rsid w:val="00E7230D"/>
    <w:rsid w:val="00E725EE"/>
    <w:rsid w:val="00E7297A"/>
    <w:rsid w:val="00E72FE9"/>
    <w:rsid w:val="00E731A7"/>
    <w:rsid w:val="00E732D1"/>
    <w:rsid w:val="00E7330A"/>
    <w:rsid w:val="00E73882"/>
    <w:rsid w:val="00E74221"/>
    <w:rsid w:val="00E74670"/>
    <w:rsid w:val="00E7483D"/>
    <w:rsid w:val="00E7557E"/>
    <w:rsid w:val="00E759F4"/>
    <w:rsid w:val="00E75B44"/>
    <w:rsid w:val="00E75D76"/>
    <w:rsid w:val="00E75E98"/>
    <w:rsid w:val="00E765B0"/>
    <w:rsid w:val="00E76604"/>
    <w:rsid w:val="00E76B51"/>
    <w:rsid w:val="00E7795B"/>
    <w:rsid w:val="00E8018B"/>
    <w:rsid w:val="00E8030E"/>
    <w:rsid w:val="00E80E8F"/>
    <w:rsid w:val="00E81045"/>
    <w:rsid w:val="00E81263"/>
    <w:rsid w:val="00E81501"/>
    <w:rsid w:val="00E82160"/>
    <w:rsid w:val="00E829A0"/>
    <w:rsid w:val="00E82F56"/>
    <w:rsid w:val="00E830BF"/>
    <w:rsid w:val="00E8356D"/>
    <w:rsid w:val="00E839DF"/>
    <w:rsid w:val="00E83A7E"/>
    <w:rsid w:val="00E83C48"/>
    <w:rsid w:val="00E843A8"/>
    <w:rsid w:val="00E8442B"/>
    <w:rsid w:val="00E849FD"/>
    <w:rsid w:val="00E851FA"/>
    <w:rsid w:val="00E85219"/>
    <w:rsid w:val="00E8546A"/>
    <w:rsid w:val="00E8546F"/>
    <w:rsid w:val="00E854EB"/>
    <w:rsid w:val="00E854EF"/>
    <w:rsid w:val="00E85E89"/>
    <w:rsid w:val="00E860A7"/>
    <w:rsid w:val="00E86D41"/>
    <w:rsid w:val="00E871A4"/>
    <w:rsid w:val="00E871B3"/>
    <w:rsid w:val="00E871F8"/>
    <w:rsid w:val="00E8782A"/>
    <w:rsid w:val="00E87A0A"/>
    <w:rsid w:val="00E87D1B"/>
    <w:rsid w:val="00E90243"/>
    <w:rsid w:val="00E90C9E"/>
    <w:rsid w:val="00E913EB"/>
    <w:rsid w:val="00E91EF6"/>
    <w:rsid w:val="00E92737"/>
    <w:rsid w:val="00E92754"/>
    <w:rsid w:val="00E92B43"/>
    <w:rsid w:val="00E92B87"/>
    <w:rsid w:val="00E92C1F"/>
    <w:rsid w:val="00E92E2D"/>
    <w:rsid w:val="00E938E5"/>
    <w:rsid w:val="00E956BC"/>
    <w:rsid w:val="00E95D2B"/>
    <w:rsid w:val="00E96979"/>
    <w:rsid w:val="00E97E08"/>
    <w:rsid w:val="00E97F3A"/>
    <w:rsid w:val="00EA02A2"/>
    <w:rsid w:val="00EA061D"/>
    <w:rsid w:val="00EA0795"/>
    <w:rsid w:val="00EA0E2A"/>
    <w:rsid w:val="00EA0E73"/>
    <w:rsid w:val="00EA1ACC"/>
    <w:rsid w:val="00EA1F74"/>
    <w:rsid w:val="00EA241D"/>
    <w:rsid w:val="00EA261B"/>
    <w:rsid w:val="00EA2641"/>
    <w:rsid w:val="00EA2984"/>
    <w:rsid w:val="00EA2CCC"/>
    <w:rsid w:val="00EA345C"/>
    <w:rsid w:val="00EA358F"/>
    <w:rsid w:val="00EA41D6"/>
    <w:rsid w:val="00EA48EE"/>
    <w:rsid w:val="00EA4A39"/>
    <w:rsid w:val="00EA4CA7"/>
    <w:rsid w:val="00EA50F2"/>
    <w:rsid w:val="00EA5157"/>
    <w:rsid w:val="00EA5410"/>
    <w:rsid w:val="00EA5428"/>
    <w:rsid w:val="00EA5890"/>
    <w:rsid w:val="00EA599D"/>
    <w:rsid w:val="00EA5B0B"/>
    <w:rsid w:val="00EA5B71"/>
    <w:rsid w:val="00EA5CD9"/>
    <w:rsid w:val="00EA65D8"/>
    <w:rsid w:val="00EA6727"/>
    <w:rsid w:val="00EB019B"/>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3A62"/>
    <w:rsid w:val="00EB4695"/>
    <w:rsid w:val="00EB4D02"/>
    <w:rsid w:val="00EB54F2"/>
    <w:rsid w:val="00EB595D"/>
    <w:rsid w:val="00EB6295"/>
    <w:rsid w:val="00EB693B"/>
    <w:rsid w:val="00EB696D"/>
    <w:rsid w:val="00EB6CA3"/>
    <w:rsid w:val="00EB6CD4"/>
    <w:rsid w:val="00EB719E"/>
    <w:rsid w:val="00EB7474"/>
    <w:rsid w:val="00EB7AAA"/>
    <w:rsid w:val="00EC0352"/>
    <w:rsid w:val="00EC0EEB"/>
    <w:rsid w:val="00EC114D"/>
    <w:rsid w:val="00EC167D"/>
    <w:rsid w:val="00EC214D"/>
    <w:rsid w:val="00EC2B01"/>
    <w:rsid w:val="00EC2C90"/>
    <w:rsid w:val="00EC30FA"/>
    <w:rsid w:val="00EC341C"/>
    <w:rsid w:val="00EC43FC"/>
    <w:rsid w:val="00EC4452"/>
    <w:rsid w:val="00EC4461"/>
    <w:rsid w:val="00EC4CD1"/>
    <w:rsid w:val="00EC5BAC"/>
    <w:rsid w:val="00EC5D5F"/>
    <w:rsid w:val="00EC6244"/>
    <w:rsid w:val="00EC68F4"/>
    <w:rsid w:val="00EC6A0B"/>
    <w:rsid w:val="00EC6DF4"/>
    <w:rsid w:val="00EC6EFF"/>
    <w:rsid w:val="00EC72E9"/>
    <w:rsid w:val="00EC746A"/>
    <w:rsid w:val="00EC775E"/>
    <w:rsid w:val="00EC7C58"/>
    <w:rsid w:val="00EC7EF9"/>
    <w:rsid w:val="00ED0364"/>
    <w:rsid w:val="00ED07F0"/>
    <w:rsid w:val="00ED113D"/>
    <w:rsid w:val="00ED1831"/>
    <w:rsid w:val="00ED1D85"/>
    <w:rsid w:val="00ED232D"/>
    <w:rsid w:val="00ED2C4F"/>
    <w:rsid w:val="00ED2D7F"/>
    <w:rsid w:val="00ED305A"/>
    <w:rsid w:val="00ED374B"/>
    <w:rsid w:val="00ED37C0"/>
    <w:rsid w:val="00ED3811"/>
    <w:rsid w:val="00ED38A4"/>
    <w:rsid w:val="00ED477E"/>
    <w:rsid w:val="00ED49D7"/>
    <w:rsid w:val="00ED49D9"/>
    <w:rsid w:val="00ED4A3F"/>
    <w:rsid w:val="00ED4EFB"/>
    <w:rsid w:val="00ED5334"/>
    <w:rsid w:val="00ED5D29"/>
    <w:rsid w:val="00ED622C"/>
    <w:rsid w:val="00ED62EE"/>
    <w:rsid w:val="00ED660F"/>
    <w:rsid w:val="00ED6905"/>
    <w:rsid w:val="00ED6A3C"/>
    <w:rsid w:val="00ED6E71"/>
    <w:rsid w:val="00ED73FA"/>
    <w:rsid w:val="00ED7A0F"/>
    <w:rsid w:val="00ED7A2F"/>
    <w:rsid w:val="00ED7B38"/>
    <w:rsid w:val="00ED7EC8"/>
    <w:rsid w:val="00EE007E"/>
    <w:rsid w:val="00EE08C8"/>
    <w:rsid w:val="00EE08F2"/>
    <w:rsid w:val="00EE0BB5"/>
    <w:rsid w:val="00EE1246"/>
    <w:rsid w:val="00EE14B4"/>
    <w:rsid w:val="00EE168C"/>
    <w:rsid w:val="00EE16EF"/>
    <w:rsid w:val="00EE1AE0"/>
    <w:rsid w:val="00EE1D1B"/>
    <w:rsid w:val="00EE1E99"/>
    <w:rsid w:val="00EE273D"/>
    <w:rsid w:val="00EE2B86"/>
    <w:rsid w:val="00EE2E1A"/>
    <w:rsid w:val="00EE300A"/>
    <w:rsid w:val="00EE3132"/>
    <w:rsid w:val="00EE320F"/>
    <w:rsid w:val="00EE3BEC"/>
    <w:rsid w:val="00EE412D"/>
    <w:rsid w:val="00EE447B"/>
    <w:rsid w:val="00EE471B"/>
    <w:rsid w:val="00EE4A83"/>
    <w:rsid w:val="00EE4CFA"/>
    <w:rsid w:val="00EE5604"/>
    <w:rsid w:val="00EE5AAB"/>
    <w:rsid w:val="00EE5B3B"/>
    <w:rsid w:val="00EE6F51"/>
    <w:rsid w:val="00EE7274"/>
    <w:rsid w:val="00EE761F"/>
    <w:rsid w:val="00EE7A37"/>
    <w:rsid w:val="00EF00E8"/>
    <w:rsid w:val="00EF0162"/>
    <w:rsid w:val="00EF027C"/>
    <w:rsid w:val="00EF064C"/>
    <w:rsid w:val="00EF07E6"/>
    <w:rsid w:val="00EF2999"/>
    <w:rsid w:val="00EF36DB"/>
    <w:rsid w:val="00EF37C9"/>
    <w:rsid w:val="00EF38D5"/>
    <w:rsid w:val="00EF3B18"/>
    <w:rsid w:val="00EF3E68"/>
    <w:rsid w:val="00EF4336"/>
    <w:rsid w:val="00EF49A2"/>
    <w:rsid w:val="00EF5378"/>
    <w:rsid w:val="00EF53C7"/>
    <w:rsid w:val="00EF5560"/>
    <w:rsid w:val="00EF5650"/>
    <w:rsid w:val="00EF5AF1"/>
    <w:rsid w:val="00EF64AB"/>
    <w:rsid w:val="00EF6C12"/>
    <w:rsid w:val="00EF706B"/>
    <w:rsid w:val="00EF73DC"/>
    <w:rsid w:val="00EF7D05"/>
    <w:rsid w:val="00F00188"/>
    <w:rsid w:val="00F00578"/>
    <w:rsid w:val="00F00F15"/>
    <w:rsid w:val="00F013FF"/>
    <w:rsid w:val="00F01ADE"/>
    <w:rsid w:val="00F02284"/>
    <w:rsid w:val="00F02E10"/>
    <w:rsid w:val="00F0332B"/>
    <w:rsid w:val="00F03B6E"/>
    <w:rsid w:val="00F03E80"/>
    <w:rsid w:val="00F0434C"/>
    <w:rsid w:val="00F0439D"/>
    <w:rsid w:val="00F043A5"/>
    <w:rsid w:val="00F0450A"/>
    <w:rsid w:val="00F054F3"/>
    <w:rsid w:val="00F056DD"/>
    <w:rsid w:val="00F058A2"/>
    <w:rsid w:val="00F058C7"/>
    <w:rsid w:val="00F0594B"/>
    <w:rsid w:val="00F05B99"/>
    <w:rsid w:val="00F05EAF"/>
    <w:rsid w:val="00F066AB"/>
    <w:rsid w:val="00F06944"/>
    <w:rsid w:val="00F077B0"/>
    <w:rsid w:val="00F07A76"/>
    <w:rsid w:val="00F10004"/>
    <w:rsid w:val="00F10615"/>
    <w:rsid w:val="00F1069E"/>
    <w:rsid w:val="00F110A3"/>
    <w:rsid w:val="00F11350"/>
    <w:rsid w:val="00F113AC"/>
    <w:rsid w:val="00F11E08"/>
    <w:rsid w:val="00F12288"/>
    <w:rsid w:val="00F12611"/>
    <w:rsid w:val="00F13AB0"/>
    <w:rsid w:val="00F13D21"/>
    <w:rsid w:val="00F14814"/>
    <w:rsid w:val="00F14A1A"/>
    <w:rsid w:val="00F15042"/>
    <w:rsid w:val="00F150DB"/>
    <w:rsid w:val="00F1518E"/>
    <w:rsid w:val="00F15463"/>
    <w:rsid w:val="00F15749"/>
    <w:rsid w:val="00F16372"/>
    <w:rsid w:val="00F16CEC"/>
    <w:rsid w:val="00F16FD8"/>
    <w:rsid w:val="00F17055"/>
    <w:rsid w:val="00F1707E"/>
    <w:rsid w:val="00F17645"/>
    <w:rsid w:val="00F17C7F"/>
    <w:rsid w:val="00F201A9"/>
    <w:rsid w:val="00F20605"/>
    <w:rsid w:val="00F20A06"/>
    <w:rsid w:val="00F20F9A"/>
    <w:rsid w:val="00F21495"/>
    <w:rsid w:val="00F214E8"/>
    <w:rsid w:val="00F21E98"/>
    <w:rsid w:val="00F21EF2"/>
    <w:rsid w:val="00F22B53"/>
    <w:rsid w:val="00F2310A"/>
    <w:rsid w:val="00F23809"/>
    <w:rsid w:val="00F23912"/>
    <w:rsid w:val="00F239C0"/>
    <w:rsid w:val="00F24461"/>
    <w:rsid w:val="00F244A4"/>
    <w:rsid w:val="00F24520"/>
    <w:rsid w:val="00F246B6"/>
    <w:rsid w:val="00F25C8F"/>
    <w:rsid w:val="00F25EC3"/>
    <w:rsid w:val="00F2655B"/>
    <w:rsid w:val="00F26D14"/>
    <w:rsid w:val="00F2710E"/>
    <w:rsid w:val="00F2737A"/>
    <w:rsid w:val="00F27C81"/>
    <w:rsid w:val="00F300F7"/>
    <w:rsid w:val="00F30553"/>
    <w:rsid w:val="00F30939"/>
    <w:rsid w:val="00F30A36"/>
    <w:rsid w:val="00F30F8C"/>
    <w:rsid w:val="00F31025"/>
    <w:rsid w:val="00F3177E"/>
    <w:rsid w:val="00F3189C"/>
    <w:rsid w:val="00F327CF"/>
    <w:rsid w:val="00F329DD"/>
    <w:rsid w:val="00F329E2"/>
    <w:rsid w:val="00F32DE2"/>
    <w:rsid w:val="00F332D5"/>
    <w:rsid w:val="00F33531"/>
    <w:rsid w:val="00F33CAF"/>
    <w:rsid w:val="00F340E2"/>
    <w:rsid w:val="00F34869"/>
    <w:rsid w:val="00F34EA6"/>
    <w:rsid w:val="00F352D1"/>
    <w:rsid w:val="00F355E8"/>
    <w:rsid w:val="00F358D6"/>
    <w:rsid w:val="00F36C0C"/>
    <w:rsid w:val="00F36CD3"/>
    <w:rsid w:val="00F36D54"/>
    <w:rsid w:val="00F36EA2"/>
    <w:rsid w:val="00F37002"/>
    <w:rsid w:val="00F371B0"/>
    <w:rsid w:val="00F3784F"/>
    <w:rsid w:val="00F40BCC"/>
    <w:rsid w:val="00F4259B"/>
    <w:rsid w:val="00F42716"/>
    <w:rsid w:val="00F4282F"/>
    <w:rsid w:val="00F4315E"/>
    <w:rsid w:val="00F43948"/>
    <w:rsid w:val="00F43CAC"/>
    <w:rsid w:val="00F43D41"/>
    <w:rsid w:val="00F44234"/>
    <w:rsid w:val="00F4432A"/>
    <w:rsid w:val="00F44768"/>
    <w:rsid w:val="00F44F7A"/>
    <w:rsid w:val="00F45177"/>
    <w:rsid w:val="00F45202"/>
    <w:rsid w:val="00F45442"/>
    <w:rsid w:val="00F459F0"/>
    <w:rsid w:val="00F45C57"/>
    <w:rsid w:val="00F45C7C"/>
    <w:rsid w:val="00F461A5"/>
    <w:rsid w:val="00F46280"/>
    <w:rsid w:val="00F469C3"/>
    <w:rsid w:val="00F472BD"/>
    <w:rsid w:val="00F4758F"/>
    <w:rsid w:val="00F501B9"/>
    <w:rsid w:val="00F5177A"/>
    <w:rsid w:val="00F52150"/>
    <w:rsid w:val="00F5383A"/>
    <w:rsid w:val="00F53957"/>
    <w:rsid w:val="00F54E86"/>
    <w:rsid w:val="00F55279"/>
    <w:rsid w:val="00F553EC"/>
    <w:rsid w:val="00F558F1"/>
    <w:rsid w:val="00F55FA4"/>
    <w:rsid w:val="00F5676D"/>
    <w:rsid w:val="00F56AC3"/>
    <w:rsid w:val="00F57292"/>
    <w:rsid w:val="00F57304"/>
    <w:rsid w:val="00F5740B"/>
    <w:rsid w:val="00F60D85"/>
    <w:rsid w:val="00F61231"/>
    <w:rsid w:val="00F61E2B"/>
    <w:rsid w:val="00F620FC"/>
    <w:rsid w:val="00F621EC"/>
    <w:rsid w:val="00F62FA2"/>
    <w:rsid w:val="00F636F5"/>
    <w:rsid w:val="00F64E7A"/>
    <w:rsid w:val="00F64F24"/>
    <w:rsid w:val="00F65139"/>
    <w:rsid w:val="00F65677"/>
    <w:rsid w:val="00F65E2A"/>
    <w:rsid w:val="00F66275"/>
    <w:rsid w:val="00F66AAB"/>
    <w:rsid w:val="00F66DDC"/>
    <w:rsid w:val="00F672FE"/>
    <w:rsid w:val="00F67B93"/>
    <w:rsid w:val="00F705FD"/>
    <w:rsid w:val="00F70C8C"/>
    <w:rsid w:val="00F714AD"/>
    <w:rsid w:val="00F7172C"/>
    <w:rsid w:val="00F71D13"/>
    <w:rsid w:val="00F729D2"/>
    <w:rsid w:val="00F7422B"/>
    <w:rsid w:val="00F75082"/>
    <w:rsid w:val="00F76235"/>
    <w:rsid w:val="00F76FAE"/>
    <w:rsid w:val="00F773BC"/>
    <w:rsid w:val="00F77526"/>
    <w:rsid w:val="00F803C7"/>
    <w:rsid w:val="00F80D98"/>
    <w:rsid w:val="00F80F1C"/>
    <w:rsid w:val="00F81640"/>
    <w:rsid w:val="00F81AD1"/>
    <w:rsid w:val="00F81AEE"/>
    <w:rsid w:val="00F81DDA"/>
    <w:rsid w:val="00F8211C"/>
    <w:rsid w:val="00F8245A"/>
    <w:rsid w:val="00F824C5"/>
    <w:rsid w:val="00F82EE9"/>
    <w:rsid w:val="00F83147"/>
    <w:rsid w:val="00F832F9"/>
    <w:rsid w:val="00F83812"/>
    <w:rsid w:val="00F83EA4"/>
    <w:rsid w:val="00F84287"/>
    <w:rsid w:val="00F845B2"/>
    <w:rsid w:val="00F8466E"/>
    <w:rsid w:val="00F8477E"/>
    <w:rsid w:val="00F84B5D"/>
    <w:rsid w:val="00F84CB9"/>
    <w:rsid w:val="00F853B9"/>
    <w:rsid w:val="00F85746"/>
    <w:rsid w:val="00F857C4"/>
    <w:rsid w:val="00F858F8"/>
    <w:rsid w:val="00F86134"/>
    <w:rsid w:val="00F8673E"/>
    <w:rsid w:val="00F868EF"/>
    <w:rsid w:val="00F86CC0"/>
    <w:rsid w:val="00F86DE8"/>
    <w:rsid w:val="00F86E5B"/>
    <w:rsid w:val="00F873AF"/>
    <w:rsid w:val="00F87558"/>
    <w:rsid w:val="00F876C7"/>
    <w:rsid w:val="00F900C0"/>
    <w:rsid w:val="00F90503"/>
    <w:rsid w:val="00F9054D"/>
    <w:rsid w:val="00F91972"/>
    <w:rsid w:val="00F91B56"/>
    <w:rsid w:val="00F91EF4"/>
    <w:rsid w:val="00F922D7"/>
    <w:rsid w:val="00F92794"/>
    <w:rsid w:val="00F9369D"/>
    <w:rsid w:val="00F93DBC"/>
    <w:rsid w:val="00F94189"/>
    <w:rsid w:val="00F946B3"/>
    <w:rsid w:val="00F94EE6"/>
    <w:rsid w:val="00F951EA"/>
    <w:rsid w:val="00F951FC"/>
    <w:rsid w:val="00F95806"/>
    <w:rsid w:val="00F95A33"/>
    <w:rsid w:val="00F960AF"/>
    <w:rsid w:val="00F96160"/>
    <w:rsid w:val="00F9632F"/>
    <w:rsid w:val="00F96946"/>
    <w:rsid w:val="00F96D9D"/>
    <w:rsid w:val="00F96FFE"/>
    <w:rsid w:val="00F97212"/>
    <w:rsid w:val="00F9740C"/>
    <w:rsid w:val="00F97725"/>
    <w:rsid w:val="00F9778A"/>
    <w:rsid w:val="00F97ED9"/>
    <w:rsid w:val="00FA0FAC"/>
    <w:rsid w:val="00FA19FD"/>
    <w:rsid w:val="00FA21E2"/>
    <w:rsid w:val="00FA2658"/>
    <w:rsid w:val="00FA2986"/>
    <w:rsid w:val="00FA32A4"/>
    <w:rsid w:val="00FA3AD8"/>
    <w:rsid w:val="00FA3AFC"/>
    <w:rsid w:val="00FA43A8"/>
    <w:rsid w:val="00FA45E2"/>
    <w:rsid w:val="00FA4853"/>
    <w:rsid w:val="00FA4B13"/>
    <w:rsid w:val="00FA5335"/>
    <w:rsid w:val="00FA5645"/>
    <w:rsid w:val="00FA57F9"/>
    <w:rsid w:val="00FA6997"/>
    <w:rsid w:val="00FA6C2E"/>
    <w:rsid w:val="00FA76A7"/>
    <w:rsid w:val="00FB0728"/>
    <w:rsid w:val="00FB13A4"/>
    <w:rsid w:val="00FB14B8"/>
    <w:rsid w:val="00FB14F2"/>
    <w:rsid w:val="00FB161A"/>
    <w:rsid w:val="00FB1B8E"/>
    <w:rsid w:val="00FB24B5"/>
    <w:rsid w:val="00FB24BA"/>
    <w:rsid w:val="00FB3DFE"/>
    <w:rsid w:val="00FB3FFE"/>
    <w:rsid w:val="00FB426B"/>
    <w:rsid w:val="00FB451F"/>
    <w:rsid w:val="00FB480D"/>
    <w:rsid w:val="00FB48E1"/>
    <w:rsid w:val="00FB524B"/>
    <w:rsid w:val="00FB53C7"/>
    <w:rsid w:val="00FB5962"/>
    <w:rsid w:val="00FB5981"/>
    <w:rsid w:val="00FB6258"/>
    <w:rsid w:val="00FB6759"/>
    <w:rsid w:val="00FB676E"/>
    <w:rsid w:val="00FB67CE"/>
    <w:rsid w:val="00FB6CE3"/>
    <w:rsid w:val="00FB6CF9"/>
    <w:rsid w:val="00FB7A40"/>
    <w:rsid w:val="00FB7BD7"/>
    <w:rsid w:val="00FC036A"/>
    <w:rsid w:val="00FC05F4"/>
    <w:rsid w:val="00FC0C36"/>
    <w:rsid w:val="00FC11F2"/>
    <w:rsid w:val="00FC1BCF"/>
    <w:rsid w:val="00FC2066"/>
    <w:rsid w:val="00FC22A8"/>
    <w:rsid w:val="00FC2745"/>
    <w:rsid w:val="00FC30F1"/>
    <w:rsid w:val="00FC3691"/>
    <w:rsid w:val="00FC38EB"/>
    <w:rsid w:val="00FC3B04"/>
    <w:rsid w:val="00FC3F33"/>
    <w:rsid w:val="00FC3F89"/>
    <w:rsid w:val="00FC41B0"/>
    <w:rsid w:val="00FC45FF"/>
    <w:rsid w:val="00FC49A8"/>
    <w:rsid w:val="00FC5512"/>
    <w:rsid w:val="00FC60E6"/>
    <w:rsid w:val="00FC6C19"/>
    <w:rsid w:val="00FC6CD4"/>
    <w:rsid w:val="00FC74A1"/>
    <w:rsid w:val="00FC7618"/>
    <w:rsid w:val="00FC7AE2"/>
    <w:rsid w:val="00FC7D69"/>
    <w:rsid w:val="00FD0442"/>
    <w:rsid w:val="00FD22D5"/>
    <w:rsid w:val="00FD29B4"/>
    <w:rsid w:val="00FD2AD2"/>
    <w:rsid w:val="00FD2F73"/>
    <w:rsid w:val="00FD30C5"/>
    <w:rsid w:val="00FD3B7D"/>
    <w:rsid w:val="00FD4C96"/>
    <w:rsid w:val="00FD61F8"/>
    <w:rsid w:val="00FD6386"/>
    <w:rsid w:val="00FD6504"/>
    <w:rsid w:val="00FD772E"/>
    <w:rsid w:val="00FD7CE8"/>
    <w:rsid w:val="00FE09AF"/>
    <w:rsid w:val="00FE0D97"/>
    <w:rsid w:val="00FE0F16"/>
    <w:rsid w:val="00FE1259"/>
    <w:rsid w:val="00FE1307"/>
    <w:rsid w:val="00FE157E"/>
    <w:rsid w:val="00FE16CC"/>
    <w:rsid w:val="00FE2066"/>
    <w:rsid w:val="00FE250E"/>
    <w:rsid w:val="00FE273C"/>
    <w:rsid w:val="00FE2E74"/>
    <w:rsid w:val="00FE2ED2"/>
    <w:rsid w:val="00FE3691"/>
    <w:rsid w:val="00FE3761"/>
    <w:rsid w:val="00FE3FF3"/>
    <w:rsid w:val="00FE41F5"/>
    <w:rsid w:val="00FE452A"/>
    <w:rsid w:val="00FE4547"/>
    <w:rsid w:val="00FE461A"/>
    <w:rsid w:val="00FE4D7B"/>
    <w:rsid w:val="00FE4F82"/>
    <w:rsid w:val="00FE50D6"/>
    <w:rsid w:val="00FE5C13"/>
    <w:rsid w:val="00FE6393"/>
    <w:rsid w:val="00FE643C"/>
    <w:rsid w:val="00FE66D9"/>
    <w:rsid w:val="00FE6BD0"/>
    <w:rsid w:val="00FE7B92"/>
    <w:rsid w:val="00FE7CBB"/>
    <w:rsid w:val="00FE7D80"/>
    <w:rsid w:val="00FF05B0"/>
    <w:rsid w:val="00FF07A8"/>
    <w:rsid w:val="00FF09C6"/>
    <w:rsid w:val="00FF1247"/>
    <w:rsid w:val="00FF12FF"/>
    <w:rsid w:val="00FF1946"/>
    <w:rsid w:val="00FF1FCA"/>
    <w:rsid w:val="00FF20E9"/>
    <w:rsid w:val="00FF22F6"/>
    <w:rsid w:val="00FF2855"/>
    <w:rsid w:val="00FF3820"/>
    <w:rsid w:val="00FF40C2"/>
    <w:rsid w:val="00FF4769"/>
    <w:rsid w:val="00FF4C75"/>
    <w:rsid w:val="00FF4EF4"/>
    <w:rsid w:val="00FF54D7"/>
    <w:rsid w:val="00FF591D"/>
    <w:rsid w:val="00FF5C48"/>
    <w:rsid w:val="00FF68C8"/>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7E8714"/>
  <w14:defaultImageDpi w14:val="330"/>
  <w15:chartTrackingRefBased/>
  <w15:docId w15:val="{9B807A78-A41E-4065-8985-B99A910BC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EE8"/>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437EE8"/>
    <w:pPr>
      <w:keepNext/>
      <w:keepLines/>
      <w:numPr>
        <w:numId w:val="41"/>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437EE8"/>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437EE8"/>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437EE8"/>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437EE8"/>
    <w:pPr>
      <w:keepNext/>
      <w:numPr>
        <w:numId w:val="2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437EE8"/>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437EE8"/>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437EE8"/>
    <w:pPr>
      <w:ind w:left="993"/>
      <w:outlineLvl w:val="7"/>
    </w:pPr>
    <w:rPr>
      <w:color w:val="321547"/>
      <w:szCs w:val="22"/>
      <w:u w:val="dotDotDash"/>
    </w:rPr>
  </w:style>
  <w:style w:type="paragraph" w:styleId="Ttulo9">
    <w:name w:val="heading 9"/>
    <w:basedOn w:val="Ttulo8"/>
    <w:next w:val="Normal"/>
    <w:link w:val="Ttulo9Car"/>
    <w:uiPriority w:val="9"/>
    <w:unhideWhenUsed/>
    <w:qFormat/>
    <w:rsid w:val="00437EE8"/>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437EE8"/>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437EE8"/>
  </w:style>
  <w:style w:type="paragraph" w:styleId="Piedepgina">
    <w:name w:val="footer"/>
    <w:basedOn w:val="Normal"/>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437EE8"/>
    <w:rPr>
      <w:color w:val="0563C1" w:themeColor="hyperlink"/>
      <w:u w:val="single"/>
    </w:rPr>
  </w:style>
  <w:style w:type="paragraph" w:styleId="Textonotapie">
    <w:name w:val="footnote text"/>
    <w:aliases w:val="Nota a pie de página"/>
    <w:basedOn w:val="Normal"/>
    <w:link w:val="TextonotapieCar"/>
    <w:uiPriority w:val="99"/>
    <w:unhideWhenUsed/>
    <w:qFormat/>
    <w:rsid w:val="00437EE8"/>
    <w:pPr>
      <w:keepLines/>
      <w:spacing w:after="40" w:line="240" w:lineRule="auto"/>
    </w:pPr>
    <w:rPr>
      <w:sz w:val="16"/>
      <w:szCs w:val="20"/>
    </w:rPr>
  </w:style>
  <w:style w:type="character" w:styleId="Refdenotaalpie">
    <w:name w:val="footnote reference"/>
    <w:basedOn w:val="Fuentedeprrafopredeter"/>
    <w:uiPriority w:val="99"/>
    <w:unhideWhenUsed/>
    <w:rsid w:val="00437EE8"/>
    <w:rPr>
      <w:vertAlign w:val="superscript"/>
    </w:rPr>
  </w:style>
  <w:style w:type="table" w:styleId="Tablaconcuadrcula">
    <w:name w:val="Table Grid"/>
    <w:basedOn w:val="Tablanormal"/>
    <w:uiPriority w:val="39"/>
    <w:rsid w:val="00437EE8"/>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437EE8"/>
    <w:rPr>
      <w:rFonts w:ascii="Segoe UI" w:hAnsi="Segoe UI" w:cs="Segoe UI"/>
      <w:sz w:val="18"/>
      <w:szCs w:val="18"/>
    </w:rPr>
  </w:style>
  <w:style w:type="paragraph" w:styleId="NormalWeb">
    <w:name w:val="Normal (Web)"/>
    <w:basedOn w:val="Normal"/>
    <w:uiPriority w:val="99"/>
    <w:unhideWhenUsed/>
    <w:rsid w:val="00724EFB"/>
    <w:pPr>
      <w:spacing w:before="100" w:beforeAutospacing="1" w:after="100" w:afterAutospacing="1"/>
    </w:pPr>
  </w:style>
  <w:style w:type="character" w:styleId="Textoennegrita">
    <w:name w:val="Strong"/>
    <w:uiPriority w:val="22"/>
    <w:qFormat/>
    <w:rsid w:val="00724EFB"/>
    <w:rPr>
      <w:b/>
      <w:bCs/>
    </w:rPr>
  </w:style>
  <w:style w:type="paragraph" w:customStyle="1" w:styleId="Default">
    <w:name w:val="Default"/>
    <w:rsid w:val="00554E68"/>
    <w:pPr>
      <w:autoSpaceDE w:val="0"/>
      <w:autoSpaceDN w:val="0"/>
      <w:adjustRightInd w:val="0"/>
    </w:pPr>
    <w:rPr>
      <w:rFonts w:ascii="Arial" w:hAnsi="Arial" w:cs="Arial"/>
      <w:color w:val="000000"/>
      <w:sz w:val="24"/>
      <w:szCs w:val="24"/>
    </w:rPr>
  </w:style>
  <w:style w:type="paragraph" w:styleId="Prrafodelista">
    <w:name w:val="List Paragraph"/>
    <w:basedOn w:val="Normal"/>
    <w:uiPriority w:val="34"/>
    <w:rsid w:val="00437EE8"/>
    <w:pPr>
      <w:ind w:left="720"/>
      <w:contextualSpacing/>
    </w:pPr>
  </w:style>
  <w:style w:type="paragraph" w:customStyle="1" w:styleId="Standard">
    <w:name w:val="Standard"/>
    <w:rsid w:val="00913159"/>
    <w:pPr>
      <w:widowControl w:val="0"/>
      <w:suppressAutoHyphens/>
      <w:autoSpaceDN w:val="0"/>
    </w:pPr>
    <w:rPr>
      <w:rFonts w:eastAsia="SimSun" w:cs="Mangal"/>
      <w:kern w:val="3"/>
      <w:sz w:val="24"/>
      <w:szCs w:val="24"/>
      <w:lang w:eastAsia="zh-CN" w:bidi="hi-IN"/>
    </w:rPr>
  </w:style>
  <w:style w:type="paragraph" w:customStyle="1" w:styleId="Footnote">
    <w:name w:val="Footnote"/>
    <w:basedOn w:val="Standard"/>
    <w:rsid w:val="00913159"/>
    <w:pPr>
      <w:suppressLineNumbers/>
      <w:ind w:left="283" w:hanging="283"/>
    </w:pPr>
    <w:rPr>
      <w:sz w:val="20"/>
      <w:szCs w:val="20"/>
    </w:rPr>
  </w:style>
  <w:style w:type="character" w:customStyle="1" w:styleId="FootnoteSymbol">
    <w:name w:val="Footnote Symbol"/>
    <w:rsid w:val="00913159"/>
    <w:rPr>
      <w:position w:val="0"/>
      <w:vertAlign w:val="superscript"/>
    </w:rPr>
  </w:style>
  <w:style w:type="numbering" w:customStyle="1" w:styleId="WW8Num8">
    <w:name w:val="WW8Num8"/>
    <w:rsid w:val="00611ED5"/>
    <w:pPr>
      <w:numPr>
        <w:numId w:val="11"/>
      </w:numPr>
    </w:pPr>
  </w:style>
  <w:style w:type="character" w:customStyle="1" w:styleId="TextonotapieCar">
    <w:name w:val="Texto nota pie Car"/>
    <w:aliases w:val="Nota a pie de página Car"/>
    <w:basedOn w:val="Fuentedeprrafopredeter"/>
    <w:link w:val="Textonotapie"/>
    <w:uiPriority w:val="99"/>
    <w:rsid w:val="00437EE8"/>
    <w:rPr>
      <w:rFonts w:ascii="Palatino Linotype" w:eastAsiaTheme="minorHAnsi" w:hAnsi="Palatino Linotype" w:cstheme="minorBidi"/>
      <w:sz w:val="16"/>
      <w:lang w:eastAsia="en-US"/>
    </w:rPr>
  </w:style>
  <w:style w:type="paragraph" w:customStyle="1" w:styleId="p">
    <w:name w:val="p"/>
    <w:basedOn w:val="Standard"/>
    <w:rsid w:val="00767DDB"/>
    <w:pPr>
      <w:spacing w:before="280" w:after="280"/>
      <w:textAlignment w:val="baseline"/>
    </w:pPr>
    <w:rPr>
      <w:rFonts w:eastAsia="Times New Roman"/>
    </w:rPr>
  </w:style>
  <w:style w:type="character" w:customStyle="1" w:styleId="span">
    <w:name w:val="span"/>
    <w:basedOn w:val="Fuentedeprrafopredeter"/>
    <w:rsid w:val="00767DDB"/>
  </w:style>
  <w:style w:type="character" w:customStyle="1" w:styleId="Ttulo1Car">
    <w:name w:val="Título 1 Car"/>
    <w:basedOn w:val="Fuentedeprrafopredeter"/>
    <w:link w:val="Ttulo1"/>
    <w:uiPriority w:val="9"/>
    <w:rsid w:val="00437EE8"/>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437EE8"/>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437EE8"/>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437EE8"/>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437EE8"/>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437EE8"/>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437EE8"/>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437EE8"/>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437EE8"/>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437EE8"/>
    <w:pPr>
      <w:tabs>
        <w:tab w:val="center" w:pos="4252"/>
        <w:tab w:val="right" w:pos="8504"/>
      </w:tabs>
    </w:pPr>
  </w:style>
  <w:style w:type="character" w:customStyle="1" w:styleId="EncabezadoCar">
    <w:name w:val="Encabezado Car"/>
    <w:basedOn w:val="Fuentedeprrafopredeter"/>
    <w:link w:val="Encabezado"/>
    <w:uiPriority w:val="99"/>
    <w:rsid w:val="00437EE8"/>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437EE8"/>
    <w:rPr>
      <w:rFonts w:ascii="Garamond" w:hAnsi="Garamond"/>
      <w:lang w:val="es-ES"/>
    </w:rPr>
  </w:style>
  <w:style w:type="character" w:customStyle="1" w:styleId="FooterChar">
    <w:name w:val="Footer Char"/>
    <w:basedOn w:val="Fuentedeprrafopredeter"/>
    <w:uiPriority w:val="99"/>
    <w:rsid w:val="00437EE8"/>
    <w:rPr>
      <w:rFonts w:ascii="Garamond" w:hAnsi="Garamond"/>
      <w:lang w:val="es-ES"/>
    </w:rPr>
  </w:style>
  <w:style w:type="character" w:styleId="Textodelmarcadordeposicin">
    <w:name w:val="Placeholder Text"/>
    <w:basedOn w:val="Fuentedeprrafopredeter"/>
    <w:uiPriority w:val="99"/>
    <w:semiHidden/>
    <w:rsid w:val="00437EE8"/>
    <w:rPr>
      <w:color w:val="808080"/>
    </w:rPr>
  </w:style>
  <w:style w:type="paragraph" w:styleId="Ttulo">
    <w:name w:val="Title"/>
    <w:basedOn w:val="Normal"/>
    <w:next w:val="Normal"/>
    <w:link w:val="TtuloCar"/>
    <w:uiPriority w:val="10"/>
    <w:qFormat/>
    <w:rsid w:val="00437EE8"/>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437EE8"/>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437EE8"/>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437EE8"/>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437EE8"/>
    <w:pPr>
      <w:numPr>
        <w:ilvl w:val="1"/>
        <w:numId w:val="19"/>
      </w:numPr>
      <w:spacing w:after="100"/>
      <w:ind w:left="1049" w:hanging="198"/>
      <w:contextualSpacing/>
    </w:pPr>
  </w:style>
  <w:style w:type="character" w:customStyle="1" w:styleId="Heading2Char">
    <w:name w:val="Heading 2 Char"/>
    <w:basedOn w:val="Fuentedeprrafopredeter"/>
    <w:uiPriority w:val="9"/>
    <w:rsid w:val="00437EE8"/>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437EE8"/>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437EE8"/>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437EE8"/>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437EE8"/>
    <w:rPr>
      <w:rFonts w:ascii="Garamond" w:hAnsi="Garamond"/>
      <w:i/>
      <w:iCs/>
      <w:color w:val="5F2987"/>
      <w:u w:val="single"/>
      <w:lang w:val="es-ES"/>
    </w:rPr>
  </w:style>
  <w:style w:type="paragraph" w:styleId="TDC3">
    <w:name w:val="toc 3"/>
    <w:basedOn w:val="Normal"/>
    <w:next w:val="FinTDC"/>
    <w:autoRedefine/>
    <w:uiPriority w:val="39"/>
    <w:unhideWhenUsed/>
    <w:rsid w:val="00437EE8"/>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437EE8"/>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437EE8"/>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437EE8"/>
    <w:rPr>
      <w:color w:val="7F7F7F" w:themeColor="text1" w:themeTint="80"/>
      <w:sz w:val="16"/>
    </w:rPr>
  </w:style>
  <w:style w:type="character" w:customStyle="1" w:styleId="NocantarChar">
    <w:name w:val="No cantar Char"/>
    <w:basedOn w:val="Fuentedeprrafopredeter"/>
    <w:link w:val="Nocantar"/>
    <w:rsid w:val="00437EE8"/>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437EE8"/>
    <w:pPr>
      <w:numPr>
        <w:numId w:val="0"/>
      </w:numPr>
      <w:ind w:firstLine="142"/>
    </w:pPr>
  </w:style>
  <w:style w:type="character" w:customStyle="1" w:styleId="IntroduccinyconclusinChar">
    <w:name w:val="Introducción y conclusión Char"/>
    <w:basedOn w:val="Ttulo1Car"/>
    <w:link w:val="Introduccinyconclusin"/>
    <w:rsid w:val="00437EE8"/>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437EE8"/>
    <w:pPr>
      <w:numPr>
        <w:numId w:val="25"/>
      </w:numPr>
    </w:pPr>
  </w:style>
  <w:style w:type="paragraph" w:customStyle="1" w:styleId="Nivel1">
    <w:name w:val="Nivel 1"/>
    <w:basedOn w:val="Normal"/>
    <w:qFormat/>
    <w:rsid w:val="00437EE8"/>
    <w:pPr>
      <w:numPr>
        <w:numId w:val="19"/>
      </w:numPr>
      <w:spacing w:before="100" w:after="100"/>
      <w:ind w:left="623" w:hanging="198"/>
    </w:pPr>
  </w:style>
  <w:style w:type="paragraph" w:customStyle="1" w:styleId="Nivel3">
    <w:name w:val="Nivel 3"/>
    <w:basedOn w:val="Nivel2"/>
    <w:link w:val="Nivel3Car"/>
    <w:qFormat/>
    <w:rsid w:val="00437EE8"/>
    <w:pPr>
      <w:numPr>
        <w:ilvl w:val="2"/>
      </w:numPr>
      <w:spacing w:after="0"/>
      <w:ind w:left="1474" w:hanging="198"/>
    </w:pPr>
  </w:style>
  <w:style w:type="paragraph" w:customStyle="1" w:styleId="Letra">
    <w:name w:val="Letra"/>
    <w:basedOn w:val="Nivel1"/>
    <w:qFormat/>
    <w:rsid w:val="00437EE8"/>
    <w:pPr>
      <w:numPr>
        <w:numId w:val="27"/>
      </w:numPr>
      <w:spacing w:before="0" w:after="40"/>
      <w:ind w:left="936" w:hanging="227"/>
    </w:pPr>
  </w:style>
  <w:style w:type="paragraph" w:customStyle="1" w:styleId="Nmero">
    <w:name w:val="Número"/>
    <w:basedOn w:val="Normal"/>
    <w:qFormat/>
    <w:rsid w:val="00437EE8"/>
    <w:pPr>
      <w:numPr>
        <w:numId w:val="28"/>
      </w:numPr>
      <w:spacing w:after="40"/>
      <w:ind w:left="936" w:hanging="227"/>
    </w:pPr>
  </w:style>
  <w:style w:type="character" w:customStyle="1" w:styleId="BalloonTextChar">
    <w:name w:val="Balloon Text Char"/>
    <w:basedOn w:val="Fuentedeprrafopredeter"/>
    <w:uiPriority w:val="99"/>
    <w:semiHidden/>
    <w:rsid w:val="00437EE8"/>
    <w:rPr>
      <w:rFonts w:ascii="Segoe UI" w:hAnsi="Segoe UI" w:cs="Segoe UI"/>
      <w:sz w:val="18"/>
      <w:szCs w:val="18"/>
      <w:lang w:val="es-ES"/>
    </w:rPr>
  </w:style>
  <w:style w:type="paragraph" w:customStyle="1" w:styleId="Notaalopositor">
    <w:name w:val="Nota al opositor"/>
    <w:basedOn w:val="Normal"/>
    <w:link w:val="NotaalopositorChar"/>
    <w:qFormat/>
    <w:rsid w:val="00437EE8"/>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437EE8"/>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437EE8"/>
    <w:rPr>
      <w:rFonts w:ascii="Garamond" w:hAnsi="Garamond"/>
      <w:sz w:val="16"/>
      <w:szCs w:val="20"/>
      <w:lang w:val="es-ES"/>
    </w:rPr>
  </w:style>
  <w:style w:type="character" w:customStyle="1" w:styleId="Heading6Char">
    <w:name w:val="Heading 6 Char"/>
    <w:basedOn w:val="Fuentedeprrafopredeter"/>
    <w:uiPriority w:val="9"/>
    <w:semiHidden/>
    <w:rsid w:val="00437EE8"/>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437EE8"/>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437EE8"/>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437EE8"/>
    <w:rPr>
      <w:rFonts w:ascii="Garamond" w:eastAsiaTheme="minorEastAsia" w:hAnsi="Garamond"/>
      <w:smallCaps/>
      <w:color w:val="5A5A5A" w:themeColor="text1" w:themeTint="A5"/>
      <w:lang w:val="es-ES"/>
    </w:rPr>
  </w:style>
  <w:style w:type="paragraph" w:customStyle="1" w:styleId="Nivel1SM">
    <w:name w:val="Nivel 1 SM"/>
    <w:basedOn w:val="Nivel1"/>
    <w:qFormat/>
    <w:rsid w:val="00437EE8"/>
    <w:pPr>
      <w:ind w:left="0"/>
    </w:pPr>
  </w:style>
  <w:style w:type="paragraph" w:customStyle="1" w:styleId="Nivel2SM">
    <w:name w:val="Nivel 2 SM"/>
    <w:basedOn w:val="Nivel2"/>
    <w:qFormat/>
    <w:rsid w:val="00437EE8"/>
    <w:pPr>
      <w:ind w:left="567"/>
    </w:pPr>
  </w:style>
  <w:style w:type="paragraph" w:customStyle="1" w:styleId="Nivel3SM">
    <w:name w:val="Nivel 3 SM"/>
    <w:basedOn w:val="Nivel3"/>
    <w:qFormat/>
    <w:rsid w:val="00437EE8"/>
    <w:pPr>
      <w:ind w:left="963"/>
    </w:pPr>
  </w:style>
  <w:style w:type="paragraph" w:styleId="Encabezadodelista">
    <w:name w:val="toa heading"/>
    <w:basedOn w:val="Normal"/>
    <w:next w:val="Normal"/>
    <w:uiPriority w:val="99"/>
    <w:unhideWhenUsed/>
    <w:rsid w:val="00437EE8"/>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437EE8"/>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437EE8"/>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437EE8"/>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437EE8"/>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437EE8"/>
    <w:rPr>
      <w:color w:val="605E5C"/>
      <w:shd w:val="clear" w:color="auto" w:fill="E1DFDD"/>
    </w:rPr>
  </w:style>
  <w:style w:type="paragraph" w:styleId="TDC5">
    <w:name w:val="toc 5"/>
    <w:basedOn w:val="Normal"/>
    <w:next w:val="FinTDC"/>
    <w:autoRedefine/>
    <w:uiPriority w:val="39"/>
    <w:unhideWhenUsed/>
    <w:rsid w:val="00437EE8"/>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437EE8"/>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437EE8"/>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437EE8"/>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437EE8"/>
    <w:pPr>
      <w:spacing w:line="240" w:lineRule="auto"/>
      <w:ind w:left="567" w:hanging="567"/>
    </w:pPr>
  </w:style>
  <w:style w:type="paragraph" w:customStyle="1" w:styleId="Ttuloimagen">
    <w:name w:val="Título imagen"/>
    <w:basedOn w:val="PiedeImagen"/>
    <w:next w:val="Imagen"/>
    <w:link w:val="TtuloimagenCar"/>
    <w:qFormat/>
    <w:rsid w:val="00437EE8"/>
    <w:pPr>
      <w:keepNext/>
      <w:spacing w:after="0"/>
    </w:pPr>
    <w:rPr>
      <w:i w:val="0"/>
      <w:smallCaps/>
      <w:sz w:val="20"/>
    </w:rPr>
  </w:style>
  <w:style w:type="character" w:customStyle="1" w:styleId="TtuloimagenCar">
    <w:name w:val="Título imagen Car"/>
    <w:basedOn w:val="ImagenCar"/>
    <w:link w:val="Ttuloimagen"/>
    <w:rsid w:val="00437EE8"/>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437EE8"/>
    <w:pPr>
      <w:ind w:left="1100"/>
    </w:pPr>
  </w:style>
  <w:style w:type="paragraph" w:styleId="Sinespaciado">
    <w:name w:val="No Spacing"/>
    <w:link w:val="SinespaciadoCar"/>
    <w:uiPriority w:val="1"/>
    <w:qFormat/>
    <w:rsid w:val="00437EE8"/>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437EE8"/>
    <w:rPr>
      <w:rFonts w:asciiTheme="minorHAnsi" w:eastAsiaTheme="minorEastAsia" w:hAnsiTheme="minorHAnsi" w:cstheme="minorBidi"/>
      <w:sz w:val="22"/>
      <w:szCs w:val="22"/>
    </w:rPr>
  </w:style>
  <w:style w:type="paragraph" w:customStyle="1" w:styleId="Nmeroromano">
    <w:name w:val="Número romano"/>
    <w:basedOn w:val="Prrafodelista"/>
    <w:qFormat/>
    <w:rsid w:val="00437EE8"/>
    <w:pPr>
      <w:numPr>
        <w:numId w:val="46"/>
      </w:numPr>
      <w:spacing w:after="100"/>
      <w:ind w:left="567" w:hanging="113"/>
    </w:pPr>
  </w:style>
  <w:style w:type="paragraph" w:customStyle="1" w:styleId="Saltodettulos">
    <w:name w:val="Salto de títulos"/>
    <w:basedOn w:val="Normal"/>
    <w:rsid w:val="00437EE8"/>
    <w:pPr>
      <w:spacing w:after="0" w:line="240" w:lineRule="auto"/>
    </w:pPr>
    <w:rPr>
      <w:color w:val="FFFFFF"/>
      <w:sz w:val="2"/>
    </w:rPr>
  </w:style>
  <w:style w:type="paragraph" w:styleId="TDC7">
    <w:name w:val="toc 7"/>
    <w:basedOn w:val="Normal"/>
    <w:next w:val="FinTDC"/>
    <w:autoRedefine/>
    <w:uiPriority w:val="39"/>
    <w:unhideWhenUsed/>
    <w:rsid w:val="00437EE8"/>
    <w:pPr>
      <w:spacing w:after="0" w:line="20" w:lineRule="atLeast"/>
      <w:ind w:left="1418"/>
      <w:jc w:val="left"/>
    </w:pPr>
    <w:rPr>
      <w:i/>
      <w:color w:val="5F2987"/>
      <w:sz w:val="12"/>
    </w:rPr>
  </w:style>
  <w:style w:type="paragraph" w:customStyle="1" w:styleId="FinTDC">
    <w:name w:val="FinTDC"/>
    <w:basedOn w:val="Nivel1"/>
    <w:qFormat/>
    <w:rsid w:val="00437EE8"/>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437EE8"/>
    <w:pPr>
      <w:spacing w:after="0" w:line="240" w:lineRule="auto"/>
      <w:jc w:val="left"/>
    </w:pPr>
    <w:rPr>
      <w:sz w:val="15"/>
    </w:rPr>
  </w:style>
  <w:style w:type="paragraph" w:styleId="TDC9">
    <w:name w:val="toc 9"/>
    <w:basedOn w:val="TDC8"/>
    <w:next w:val="FinTDC"/>
    <w:autoRedefine/>
    <w:uiPriority w:val="39"/>
    <w:unhideWhenUsed/>
    <w:rsid w:val="00437EE8"/>
    <w:pPr>
      <w:ind w:left="1760"/>
    </w:pPr>
  </w:style>
  <w:style w:type="paragraph" w:customStyle="1" w:styleId="Apartado0">
    <w:name w:val="Apartado 0"/>
    <w:basedOn w:val="Ttulo1"/>
    <w:next w:val="Normal"/>
    <w:link w:val="Apartado0Car"/>
    <w:qFormat/>
    <w:rsid w:val="00437EE8"/>
    <w:pPr>
      <w:numPr>
        <w:numId w:val="45"/>
      </w:numPr>
      <w:ind w:left="357" w:hanging="357"/>
    </w:pPr>
  </w:style>
  <w:style w:type="character" w:customStyle="1" w:styleId="Apartado0Car">
    <w:name w:val="Apartado 0 Car"/>
    <w:basedOn w:val="Ttulo1Car"/>
    <w:link w:val="Apartado0"/>
    <w:rsid w:val="00437EE8"/>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437EE8"/>
    <w:pPr>
      <w:numPr>
        <w:ilvl w:val="3"/>
      </w:numPr>
      <w:ind w:left="1899" w:hanging="198"/>
    </w:pPr>
  </w:style>
  <w:style w:type="paragraph" w:customStyle="1" w:styleId="Nivel5">
    <w:name w:val="Nivel 5"/>
    <w:basedOn w:val="Nivel4"/>
    <w:link w:val="Nivel5Car"/>
    <w:qFormat/>
    <w:rsid w:val="00437EE8"/>
    <w:pPr>
      <w:numPr>
        <w:ilvl w:val="4"/>
      </w:numPr>
      <w:ind w:left="2155" w:hanging="170"/>
    </w:pPr>
  </w:style>
  <w:style w:type="character" w:customStyle="1" w:styleId="Nivel2Car">
    <w:name w:val="Nivel 2 Car"/>
    <w:basedOn w:val="Fuentedeprrafopredeter"/>
    <w:link w:val="Nivel2"/>
    <w:rsid w:val="00437EE8"/>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437EE8"/>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437EE8"/>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437EE8"/>
    <w:pPr>
      <w:numPr>
        <w:ilvl w:val="5"/>
      </w:numPr>
      <w:ind w:left="2438" w:hanging="227"/>
    </w:pPr>
  </w:style>
  <w:style w:type="character" w:customStyle="1" w:styleId="Nivel5Car">
    <w:name w:val="Nivel 5 Car"/>
    <w:basedOn w:val="Nivel4Car"/>
    <w:link w:val="Nivel5"/>
    <w:rsid w:val="00437EE8"/>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437EE8"/>
    <w:pPr>
      <w:numPr>
        <w:ilvl w:val="6"/>
      </w:numPr>
      <w:ind w:left="2722" w:hanging="170"/>
    </w:pPr>
  </w:style>
  <w:style w:type="character" w:customStyle="1" w:styleId="Nivel6Car">
    <w:name w:val="Nivel 6 Car"/>
    <w:basedOn w:val="Nivel5Car"/>
    <w:link w:val="Nivel6"/>
    <w:rsid w:val="00437EE8"/>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437EE8"/>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437EE8"/>
    <w:pPr>
      <w:spacing w:after="200" w:line="240" w:lineRule="auto"/>
    </w:pPr>
    <w:rPr>
      <w:i/>
      <w:iCs/>
      <w:color w:val="44546A" w:themeColor="text2"/>
      <w:sz w:val="18"/>
      <w:szCs w:val="18"/>
    </w:rPr>
  </w:style>
  <w:style w:type="paragraph" w:customStyle="1" w:styleId="Ttulo10">
    <w:name w:val="Título 10"/>
    <w:basedOn w:val="Ttulo9"/>
    <w:link w:val="Ttulo10Car"/>
    <w:qFormat/>
    <w:rsid w:val="00437EE8"/>
    <w:pPr>
      <w:ind w:left="1276"/>
    </w:pPr>
    <w:rPr>
      <w:w w:val="97"/>
    </w:rPr>
  </w:style>
  <w:style w:type="character" w:customStyle="1" w:styleId="Ttulo10Car">
    <w:name w:val="Título 10 Car"/>
    <w:basedOn w:val="Ttulo9Car"/>
    <w:link w:val="Ttulo10"/>
    <w:rsid w:val="00437EE8"/>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437EE8"/>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437EE8"/>
    <w:pPr>
      <w:numPr>
        <w:ilvl w:val="7"/>
      </w:numPr>
      <w:ind w:left="3005" w:hanging="170"/>
    </w:pPr>
  </w:style>
  <w:style w:type="character" w:customStyle="1" w:styleId="Nivel8Car">
    <w:name w:val="Nivel 8 Car"/>
    <w:basedOn w:val="Nivel7Car"/>
    <w:link w:val="Nivel8"/>
    <w:rsid w:val="00437EE8"/>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437EE8"/>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437EE8"/>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437EE8"/>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437EE8"/>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437EE8"/>
    <w:rPr>
      <w:vertAlign w:val="superscript"/>
    </w:rPr>
  </w:style>
  <w:style w:type="character" w:styleId="Hipervnculovisitado">
    <w:name w:val="FollowedHyperlink"/>
    <w:basedOn w:val="Fuentedeprrafopredeter"/>
    <w:rsid w:val="002E3B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6588781">
      <w:bodyDiv w:val="1"/>
      <w:marLeft w:val="0"/>
      <w:marRight w:val="0"/>
      <w:marTop w:val="0"/>
      <w:marBottom w:val="0"/>
      <w:divBdr>
        <w:top w:val="none" w:sz="0" w:space="0" w:color="auto"/>
        <w:left w:val="none" w:sz="0" w:space="0" w:color="auto"/>
        <w:bottom w:val="none" w:sz="0" w:space="0" w:color="auto"/>
        <w:right w:val="none" w:sz="0" w:space="0" w:color="auto"/>
      </w:divBdr>
      <w:divsChild>
        <w:div w:id="1288897146">
          <w:marLeft w:val="0"/>
          <w:marRight w:val="0"/>
          <w:marTop w:val="0"/>
          <w:marBottom w:val="0"/>
          <w:divBdr>
            <w:top w:val="none" w:sz="0" w:space="0" w:color="auto"/>
            <w:left w:val="none" w:sz="0" w:space="0" w:color="auto"/>
            <w:bottom w:val="none" w:sz="0" w:space="0" w:color="auto"/>
            <w:right w:val="none" w:sz="0" w:space="0" w:color="auto"/>
          </w:divBdr>
          <w:divsChild>
            <w:div w:id="680623495">
              <w:marLeft w:val="0"/>
              <w:marRight w:val="0"/>
              <w:marTop w:val="0"/>
              <w:marBottom w:val="0"/>
              <w:divBdr>
                <w:top w:val="none" w:sz="0" w:space="0" w:color="auto"/>
                <w:left w:val="none" w:sz="0" w:space="0" w:color="auto"/>
                <w:bottom w:val="none" w:sz="0" w:space="0" w:color="auto"/>
                <w:right w:val="none" w:sz="0" w:space="0" w:color="auto"/>
              </w:divBdr>
              <w:divsChild>
                <w:div w:id="1029532474">
                  <w:marLeft w:val="0"/>
                  <w:marRight w:val="0"/>
                  <w:marTop w:val="0"/>
                  <w:marBottom w:val="0"/>
                  <w:divBdr>
                    <w:top w:val="none" w:sz="0" w:space="0" w:color="auto"/>
                    <w:left w:val="none" w:sz="0" w:space="0" w:color="auto"/>
                    <w:bottom w:val="none" w:sz="0" w:space="0" w:color="auto"/>
                    <w:right w:val="none" w:sz="0" w:space="0" w:color="auto"/>
                  </w:divBdr>
                  <w:divsChild>
                    <w:div w:id="2086798151">
                      <w:marLeft w:val="0"/>
                      <w:marRight w:val="0"/>
                      <w:marTop w:val="0"/>
                      <w:marBottom w:val="0"/>
                      <w:divBdr>
                        <w:top w:val="none" w:sz="0" w:space="0" w:color="auto"/>
                        <w:left w:val="none" w:sz="0" w:space="0" w:color="auto"/>
                        <w:bottom w:val="none" w:sz="0" w:space="0" w:color="auto"/>
                        <w:right w:val="none" w:sz="0" w:space="0" w:color="auto"/>
                      </w:divBdr>
                      <w:divsChild>
                        <w:div w:id="1183977146">
                          <w:marLeft w:val="0"/>
                          <w:marRight w:val="0"/>
                          <w:marTop w:val="0"/>
                          <w:marBottom w:val="0"/>
                          <w:divBdr>
                            <w:top w:val="none" w:sz="0" w:space="0" w:color="auto"/>
                            <w:left w:val="none" w:sz="0" w:space="0" w:color="auto"/>
                            <w:bottom w:val="none" w:sz="0" w:space="0" w:color="auto"/>
                            <w:right w:val="none" w:sz="0" w:space="0" w:color="auto"/>
                          </w:divBdr>
                          <w:divsChild>
                            <w:div w:id="819997878">
                              <w:marLeft w:val="0"/>
                              <w:marRight w:val="0"/>
                              <w:marTop w:val="0"/>
                              <w:marBottom w:val="0"/>
                              <w:divBdr>
                                <w:top w:val="none" w:sz="0" w:space="0" w:color="auto"/>
                                <w:left w:val="none" w:sz="0" w:space="0" w:color="auto"/>
                                <w:bottom w:val="none" w:sz="0" w:space="0" w:color="auto"/>
                                <w:right w:val="none" w:sz="0" w:space="0" w:color="auto"/>
                              </w:divBdr>
                              <w:divsChild>
                                <w:div w:id="2097971070">
                                  <w:marLeft w:val="0"/>
                                  <w:marRight w:val="0"/>
                                  <w:marTop w:val="0"/>
                                  <w:marBottom w:val="0"/>
                                  <w:divBdr>
                                    <w:top w:val="none" w:sz="0" w:space="0" w:color="auto"/>
                                    <w:left w:val="none" w:sz="0" w:space="0" w:color="auto"/>
                                    <w:bottom w:val="none" w:sz="0" w:space="0" w:color="auto"/>
                                    <w:right w:val="none" w:sz="0" w:space="0" w:color="auto"/>
                                  </w:divBdr>
                                  <w:divsChild>
                                    <w:div w:id="90973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14053827">
      <w:bodyDiv w:val="1"/>
      <w:marLeft w:val="0"/>
      <w:marRight w:val="0"/>
      <w:marTop w:val="0"/>
      <w:marBottom w:val="0"/>
      <w:divBdr>
        <w:top w:val="none" w:sz="0" w:space="0" w:color="auto"/>
        <w:left w:val="none" w:sz="0" w:space="0" w:color="auto"/>
        <w:bottom w:val="none" w:sz="0" w:space="0" w:color="auto"/>
        <w:right w:val="none" w:sz="0" w:space="0" w:color="auto"/>
      </w:divBdr>
      <w:divsChild>
        <w:div w:id="1367440334">
          <w:marLeft w:val="0"/>
          <w:marRight w:val="0"/>
          <w:marTop w:val="0"/>
          <w:marBottom w:val="0"/>
          <w:divBdr>
            <w:top w:val="none" w:sz="0" w:space="0" w:color="auto"/>
            <w:left w:val="none" w:sz="0" w:space="0" w:color="auto"/>
            <w:bottom w:val="none" w:sz="0" w:space="0" w:color="auto"/>
            <w:right w:val="none" w:sz="0" w:space="0" w:color="auto"/>
          </w:divBdr>
          <w:divsChild>
            <w:div w:id="950747406">
              <w:marLeft w:val="0"/>
              <w:marRight w:val="0"/>
              <w:marTop w:val="0"/>
              <w:marBottom w:val="0"/>
              <w:divBdr>
                <w:top w:val="none" w:sz="0" w:space="0" w:color="auto"/>
                <w:left w:val="none" w:sz="0" w:space="0" w:color="auto"/>
                <w:bottom w:val="none" w:sz="0" w:space="0" w:color="auto"/>
                <w:right w:val="none" w:sz="0" w:space="0" w:color="auto"/>
              </w:divBdr>
              <w:divsChild>
                <w:div w:id="722485701">
                  <w:marLeft w:val="0"/>
                  <w:marRight w:val="0"/>
                  <w:marTop w:val="0"/>
                  <w:marBottom w:val="0"/>
                  <w:divBdr>
                    <w:top w:val="none" w:sz="0" w:space="0" w:color="auto"/>
                    <w:left w:val="none" w:sz="0" w:space="0" w:color="auto"/>
                    <w:bottom w:val="none" w:sz="0" w:space="0" w:color="auto"/>
                    <w:right w:val="none" w:sz="0" w:space="0" w:color="auto"/>
                  </w:divBdr>
                  <w:divsChild>
                    <w:div w:id="734662338">
                      <w:marLeft w:val="0"/>
                      <w:marRight w:val="0"/>
                      <w:marTop w:val="0"/>
                      <w:marBottom w:val="0"/>
                      <w:divBdr>
                        <w:top w:val="none" w:sz="0" w:space="0" w:color="auto"/>
                        <w:left w:val="none" w:sz="0" w:space="0" w:color="auto"/>
                        <w:bottom w:val="none" w:sz="0" w:space="0" w:color="auto"/>
                        <w:right w:val="none" w:sz="0" w:space="0" w:color="auto"/>
                      </w:divBdr>
                      <w:divsChild>
                        <w:div w:id="461580986">
                          <w:marLeft w:val="0"/>
                          <w:marRight w:val="0"/>
                          <w:marTop w:val="0"/>
                          <w:marBottom w:val="0"/>
                          <w:divBdr>
                            <w:top w:val="none" w:sz="0" w:space="0" w:color="auto"/>
                            <w:left w:val="none" w:sz="0" w:space="0" w:color="auto"/>
                            <w:bottom w:val="none" w:sz="0" w:space="0" w:color="auto"/>
                            <w:right w:val="none" w:sz="0" w:space="0" w:color="auto"/>
                          </w:divBdr>
                          <w:divsChild>
                            <w:div w:id="766119554">
                              <w:marLeft w:val="0"/>
                              <w:marRight w:val="0"/>
                              <w:marTop w:val="0"/>
                              <w:marBottom w:val="0"/>
                              <w:divBdr>
                                <w:top w:val="none" w:sz="0" w:space="0" w:color="auto"/>
                                <w:left w:val="none" w:sz="0" w:space="0" w:color="auto"/>
                                <w:bottom w:val="none" w:sz="0" w:space="0" w:color="auto"/>
                                <w:right w:val="none" w:sz="0" w:space="0" w:color="auto"/>
                              </w:divBdr>
                              <w:divsChild>
                                <w:div w:id="1074742475">
                                  <w:marLeft w:val="0"/>
                                  <w:marRight w:val="0"/>
                                  <w:marTop w:val="0"/>
                                  <w:marBottom w:val="0"/>
                                  <w:divBdr>
                                    <w:top w:val="none" w:sz="0" w:space="0" w:color="auto"/>
                                    <w:left w:val="none" w:sz="0" w:space="0" w:color="auto"/>
                                    <w:bottom w:val="none" w:sz="0" w:space="0" w:color="auto"/>
                                    <w:right w:val="none" w:sz="0" w:space="0" w:color="auto"/>
                                  </w:divBdr>
                                  <w:divsChild>
                                    <w:div w:id="99348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083144">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040742">
      <w:bodyDiv w:val="1"/>
      <w:marLeft w:val="0"/>
      <w:marRight w:val="0"/>
      <w:marTop w:val="0"/>
      <w:marBottom w:val="0"/>
      <w:divBdr>
        <w:top w:val="none" w:sz="0" w:space="0" w:color="auto"/>
        <w:left w:val="none" w:sz="0" w:space="0" w:color="auto"/>
        <w:bottom w:val="none" w:sz="0" w:space="0" w:color="auto"/>
        <w:right w:val="none" w:sz="0" w:space="0" w:color="auto"/>
      </w:divBdr>
    </w:div>
    <w:div w:id="1570652981">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40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amoncloa.gob.es/serviciosdeprensa/notasprensa/asuntos-economicos/Paginas/2023/180923-recuperacion-nivel-pib.aspx" TargetMode="External"/><Relationship Id="rId13" Type="http://schemas.microsoft.com/office/2007/relationships/hdphoto" Target="media/hdphoto2.wdp"/><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4.wdp"/><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eader" Target="header2.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https://www.bde.es/webbde/es/estadis/infoest/htmls/notamet/notametBpPii.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www.ine.es/ss/Satellite?L=es_ES&amp;c=Page&amp;cid=1259948620221&amp;p=1259948620221&amp;pagename=INE%2FINELayou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web/european-statistical-system/programmes-and-activities/statistical-programmes?language=es" TargetMode="External"/><Relationship Id="rId2" Type="http://schemas.openxmlformats.org/officeDocument/2006/relationships/hyperlink" Target="https://www.boe.es/eli/es/l/1989/05/09/12/dof/spa/pdf" TargetMode="External"/><Relationship Id="rId1" Type="http://schemas.openxmlformats.org/officeDocument/2006/relationships/hyperlink" Target="https://www.boe.es/buscar/pdf/1978/BOE-A-1978-31229-consolidado.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F3F7236F62A45A4A11861B4F5153AE6"/>
        <w:category>
          <w:name w:val="General"/>
          <w:gallery w:val="placeholder"/>
        </w:category>
        <w:types>
          <w:type w:val="bbPlcHdr"/>
        </w:types>
        <w:behaviors>
          <w:behavior w:val="content"/>
        </w:behaviors>
        <w:guid w:val="{980D2372-89CB-494B-8761-8507476FCDC6}"/>
      </w:docPartPr>
      <w:docPartBody>
        <w:p w:rsidR="00600990" w:rsidRDefault="00FD1C86" w:rsidP="00FD1C86">
          <w:pPr>
            <w:pStyle w:val="EF3F7236F62A45A4A11861B4F5153AE6"/>
          </w:pPr>
          <w:r w:rsidRPr="001B5103">
            <w:rPr>
              <w:rStyle w:val="Textodelmarcadordeposicin"/>
            </w:rPr>
            <w:t>[Title]</w:t>
          </w:r>
        </w:p>
      </w:docPartBody>
    </w:docPart>
    <w:docPart>
      <w:docPartPr>
        <w:name w:val="125AFD332B7B4F69888BEFC4D608159D"/>
        <w:category>
          <w:name w:val="General"/>
          <w:gallery w:val="placeholder"/>
        </w:category>
        <w:types>
          <w:type w:val="bbPlcHdr"/>
        </w:types>
        <w:behaviors>
          <w:behavior w:val="content"/>
        </w:behaviors>
        <w:guid w:val="{0390817F-BDCE-43EC-B0F2-52F527FABF15}"/>
      </w:docPartPr>
      <w:docPartBody>
        <w:p w:rsidR="00600990" w:rsidRDefault="00FD1C86" w:rsidP="00FD1C86">
          <w:pPr>
            <w:pStyle w:val="125AFD332B7B4F69888BEFC4D608159D"/>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C86"/>
    <w:rsid w:val="00126608"/>
    <w:rsid w:val="001602E0"/>
    <w:rsid w:val="00271377"/>
    <w:rsid w:val="002A7F19"/>
    <w:rsid w:val="00564A65"/>
    <w:rsid w:val="005B00F1"/>
    <w:rsid w:val="005C17E6"/>
    <w:rsid w:val="00600990"/>
    <w:rsid w:val="00866BE4"/>
    <w:rsid w:val="00941ABB"/>
    <w:rsid w:val="00A579A0"/>
    <w:rsid w:val="00A86D04"/>
    <w:rsid w:val="00AA79C4"/>
    <w:rsid w:val="00C104BA"/>
    <w:rsid w:val="00C473F3"/>
    <w:rsid w:val="00C60046"/>
    <w:rsid w:val="00EE7AF6"/>
    <w:rsid w:val="00F86DF7"/>
    <w:rsid w:val="00FD1C86"/>
    <w:rsid w:val="00FE1C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E7AF6"/>
    <w:rPr>
      <w:color w:val="808080"/>
    </w:rPr>
  </w:style>
  <w:style w:type="paragraph" w:customStyle="1" w:styleId="EF3F7236F62A45A4A11861B4F5153AE6">
    <w:name w:val="EF3F7236F62A45A4A11861B4F5153AE6"/>
    <w:rsid w:val="00FD1C86"/>
  </w:style>
  <w:style w:type="paragraph" w:customStyle="1" w:styleId="125AFD332B7B4F69888BEFC4D608159D">
    <w:name w:val="125AFD332B7B4F69888BEFC4D608159D"/>
    <w:rsid w:val="00FD1C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88EF5-D0F6-4F21-9400-50DEF8CC4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1036</TotalTime>
  <Pages>30</Pages>
  <Words>10955</Words>
  <Characters>60254</Characters>
  <Application>Microsoft Office Word</Application>
  <DocSecurity>0</DocSecurity>
  <Lines>502</Lines>
  <Paragraphs>142</Paragraphs>
  <ScaleCrop>false</ScaleCrop>
  <HeadingPairs>
    <vt:vector size="2" baseType="variant">
      <vt:variant>
        <vt:lpstr>Título</vt:lpstr>
      </vt:variant>
      <vt:variant>
        <vt:i4>1</vt:i4>
      </vt:variant>
    </vt:vector>
  </HeadingPairs>
  <TitlesOfParts>
    <vt:vector size="1" baseType="lpstr">
      <vt:lpstr>4.A.1</vt:lpstr>
    </vt:vector>
  </TitlesOfParts>
  <Company/>
  <LinksUpToDate>false</LinksUpToDate>
  <CharactersWithSpaces>71067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dc:title>
  <dc:subject>Fuentes estadísticas españolas. Características, limitaciones y armonización en el ámbito comunitario.</dc:subject>
  <dc:creator>Víctor Gutiérrez Marcos</dc:creator>
  <cp:keywords/>
  <cp:lastModifiedBy>Víctor Gutiérrez Marcos</cp:lastModifiedBy>
  <dcterms:created xsi:type="dcterms:W3CDTF">2023-09-17T07:05:00Z</dcterms:created>
  <dcterms:modified xsi:type="dcterms:W3CDTF">2024-09-20T13:45:00Z</dcterms:modified>
</cp:coreProperties>
</file>